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10384" w14:textId="77777777" w:rsidR="008854A0" w:rsidRPr="00E53345" w:rsidRDefault="008854A0" w:rsidP="008854A0">
      <w:pPr>
        <w:rPr>
          <w:rFonts w:eastAsiaTheme="majorEastAsia"/>
          <w:lang w:val="fr-BE" w:eastAsia="en-US"/>
        </w:rPr>
      </w:pPr>
    </w:p>
    <w:p w14:paraId="5D80B39F" w14:textId="77777777" w:rsidR="00CE0262" w:rsidRPr="00E53345" w:rsidRDefault="00CE0262" w:rsidP="000841C7">
      <w:pPr>
        <w:pStyle w:val="Paragraphedeliste"/>
        <w:numPr>
          <w:ilvl w:val="0"/>
          <w:numId w:val="12"/>
        </w:numPr>
        <w:pBdr>
          <w:top w:val="single" w:sz="6" w:space="8" w:color="D2691E"/>
          <w:bottom w:val="single" w:sz="6" w:space="8" w:color="D2691E"/>
        </w:pBdr>
        <w:spacing w:after="400"/>
        <w:jc w:val="center"/>
        <w:rPr>
          <w:rFonts w:eastAsiaTheme="majorEastAsia" w:cstheme="minorHAnsi"/>
          <w:b/>
          <w:caps/>
          <w:color w:val="D2691E"/>
          <w:sz w:val="36"/>
          <w:szCs w:val="50"/>
          <w:lang w:val="fr-BE" w:eastAsia="en-US"/>
        </w:rPr>
      </w:pPr>
      <w:r w:rsidRPr="00E53345">
        <w:rPr>
          <w:rFonts w:eastAsiaTheme="majorEastAsia" w:cstheme="minorHAnsi"/>
          <w:b/>
          <w:caps/>
          <w:color w:val="D2691E"/>
          <w:sz w:val="36"/>
          <w:szCs w:val="50"/>
          <w:lang w:val="fr-BE" w:eastAsia="en-US"/>
        </w:rPr>
        <w:t>CONDITIONS PARTICULIÈRES</w:t>
      </w:r>
    </w:p>
    <w:p w14:paraId="2D77BE58" w14:textId="77777777" w:rsidR="00CE0262" w:rsidRPr="00E53345" w:rsidRDefault="00CE0262" w:rsidP="00CE0262">
      <w:pPr>
        <w:spacing w:after="240"/>
        <w:jc w:val="both"/>
        <w:rPr>
          <w:rFonts w:cstheme="minorHAnsi"/>
          <w:szCs w:val="22"/>
          <w:lang w:val="fr-BE"/>
        </w:rPr>
      </w:pPr>
      <w:r w:rsidRPr="00E53345">
        <w:rPr>
          <w:rFonts w:cstheme="minorHAnsi"/>
          <w:szCs w:val="22"/>
          <w:lang w:val="fr-BE"/>
        </w:rPr>
        <w:t>Les présentes conditions particulières précisent et complètent, au besoin, les dispositions des conditions générales applicables au marché. Sauf si les conditions particulières en disposent autrement, les dispositions des conditions générales susmentionnées demeurent pleinement applicables. La numérotation des articles des conditions particulières n’est pas consécutive et suit la numérotation des articles des conditions générales. À titre exceptionnel et avec l’autorisation des services compétents de la Commission, d’autres clauses peuvent être introduites pour couvrir des situations particulières.</w:t>
      </w:r>
    </w:p>
    <w:p w14:paraId="65CDF8CE" w14:textId="77777777" w:rsidR="000841C7" w:rsidRPr="00E53345" w:rsidRDefault="000841C7" w:rsidP="000841C7">
      <w:pPr>
        <w:spacing w:before="240" w:after="240"/>
        <w:ind w:left="1134" w:hanging="1134"/>
        <w:jc w:val="both"/>
        <w:rPr>
          <w:rFonts w:cstheme="minorHAnsi"/>
          <w:b/>
          <w:szCs w:val="22"/>
          <w:lang w:val="fr-BE"/>
        </w:rPr>
      </w:pPr>
      <w:bookmarkStart w:id="0" w:name="_Toc124934896"/>
      <w:r w:rsidRPr="00E53345">
        <w:rPr>
          <w:rFonts w:cstheme="minorHAnsi"/>
          <w:b/>
          <w:szCs w:val="22"/>
          <w:lang w:val="fr-BE"/>
        </w:rPr>
        <w:t>Article 2</w:t>
      </w:r>
      <w:r w:rsidRPr="00E53345">
        <w:rPr>
          <w:rFonts w:cstheme="minorHAnsi"/>
          <w:szCs w:val="22"/>
          <w:lang w:val="fr-BE"/>
        </w:rPr>
        <w:tab/>
      </w:r>
      <w:r w:rsidRPr="00E53345">
        <w:rPr>
          <w:rFonts w:cstheme="minorHAnsi"/>
          <w:b/>
          <w:szCs w:val="22"/>
          <w:lang w:val="fr-BE"/>
        </w:rPr>
        <w:t>L</w:t>
      </w:r>
      <w:bookmarkEnd w:id="0"/>
      <w:r w:rsidRPr="00E53345">
        <w:rPr>
          <w:rFonts w:cstheme="minorHAnsi"/>
          <w:b/>
          <w:szCs w:val="22"/>
          <w:lang w:val="fr-BE"/>
        </w:rPr>
        <w:t>angue du marché</w:t>
      </w:r>
    </w:p>
    <w:p w14:paraId="29CED193" w14:textId="77777777" w:rsidR="000841C7" w:rsidRPr="00E53345" w:rsidRDefault="000841C7" w:rsidP="000841C7">
      <w:pPr>
        <w:rPr>
          <w:rFonts w:cstheme="minorHAnsi"/>
          <w:szCs w:val="22"/>
          <w:lang w:val="fr-BE"/>
        </w:rPr>
      </w:pPr>
      <w:r w:rsidRPr="00E53345">
        <w:rPr>
          <w:rFonts w:cstheme="minorHAnsi"/>
          <w:szCs w:val="22"/>
          <w:lang w:val="fr-BE"/>
        </w:rPr>
        <w:t>2.1</w:t>
      </w:r>
      <w:r w:rsidRPr="00E53345">
        <w:rPr>
          <w:rFonts w:cstheme="minorHAnsi"/>
          <w:szCs w:val="22"/>
          <w:lang w:val="fr-BE"/>
        </w:rPr>
        <w:tab/>
        <w:t>La langue utilisée est le français</w:t>
      </w:r>
    </w:p>
    <w:p w14:paraId="7E4ACCF7" w14:textId="77777777" w:rsidR="000841C7" w:rsidRPr="00E53345" w:rsidRDefault="000841C7" w:rsidP="000841C7">
      <w:pPr>
        <w:spacing w:before="240" w:after="240"/>
        <w:ind w:left="1134" w:hanging="1134"/>
        <w:jc w:val="both"/>
        <w:rPr>
          <w:rFonts w:cstheme="minorHAnsi"/>
          <w:b/>
          <w:szCs w:val="22"/>
          <w:lang w:val="fr-BE"/>
        </w:rPr>
      </w:pPr>
      <w:bookmarkStart w:id="1" w:name="_Toc124934897"/>
      <w:r w:rsidRPr="00E53345">
        <w:rPr>
          <w:rFonts w:cstheme="minorHAnsi"/>
          <w:b/>
          <w:szCs w:val="22"/>
          <w:lang w:val="fr-BE"/>
        </w:rPr>
        <w:t>Article 4</w:t>
      </w:r>
      <w:r w:rsidRPr="00E53345">
        <w:rPr>
          <w:rFonts w:cstheme="minorHAnsi"/>
          <w:szCs w:val="22"/>
          <w:lang w:val="fr-BE"/>
        </w:rPr>
        <w:tab/>
      </w:r>
      <w:r w:rsidRPr="00E53345">
        <w:rPr>
          <w:rFonts w:cstheme="minorHAnsi"/>
          <w:b/>
          <w:szCs w:val="22"/>
          <w:lang w:val="fr-BE"/>
        </w:rPr>
        <w:t>Communications</w:t>
      </w:r>
      <w:bookmarkEnd w:id="1"/>
    </w:p>
    <w:p w14:paraId="16A61466" w14:textId="77777777" w:rsidR="000841C7" w:rsidRPr="00E53345" w:rsidRDefault="000841C7" w:rsidP="000841C7">
      <w:pPr>
        <w:spacing w:after="240"/>
        <w:rPr>
          <w:rFonts w:cstheme="minorHAnsi"/>
          <w:szCs w:val="22"/>
          <w:lang w:val="fr-BE"/>
        </w:rPr>
      </w:pPr>
      <w:r w:rsidRPr="00E53345">
        <w:rPr>
          <w:rFonts w:cstheme="minorHAnsi"/>
          <w:szCs w:val="22"/>
          <w:lang w:val="fr-BE"/>
        </w:rPr>
        <w:t>4.1</w:t>
      </w:r>
      <w:r w:rsidRPr="00E53345">
        <w:rPr>
          <w:rFonts w:cstheme="minorHAnsi"/>
          <w:szCs w:val="22"/>
          <w:lang w:val="fr-BE"/>
        </w:rPr>
        <w:tab/>
        <w:t>Les personnes de contact sont :</w:t>
      </w:r>
    </w:p>
    <w:p w14:paraId="7C69397C" w14:textId="12CA4E9C" w:rsidR="000841C7" w:rsidRPr="00E53345" w:rsidRDefault="000841C7" w:rsidP="000841C7">
      <w:pPr>
        <w:pStyle w:val="Paragraphedeliste"/>
        <w:numPr>
          <w:ilvl w:val="0"/>
          <w:numId w:val="11"/>
        </w:numPr>
        <w:spacing w:after="240"/>
        <w:jc w:val="both"/>
        <w:rPr>
          <w:rStyle w:val="Lienhypertexte"/>
          <w:rFonts w:cstheme="minorHAnsi"/>
          <w:color w:val="auto"/>
          <w:szCs w:val="22"/>
          <w:u w:val="none"/>
          <w:lang w:val="fr-BE"/>
        </w:rPr>
      </w:pPr>
      <w:r w:rsidRPr="00E53345">
        <w:rPr>
          <w:rFonts w:cstheme="minorHAnsi"/>
          <w:szCs w:val="22"/>
          <w:lang w:val="fr-BE"/>
        </w:rPr>
        <w:t xml:space="preserve">Madame SEZIBERA Annick - CAPAD,  Quartier </w:t>
      </w:r>
      <w:r w:rsidR="00797C75">
        <w:rPr>
          <w:rFonts w:cstheme="minorHAnsi"/>
          <w:szCs w:val="22"/>
          <w:lang w:val="fr-BE"/>
        </w:rPr>
        <w:t>KIGOBE</w:t>
      </w:r>
      <w:r w:rsidRPr="00E53345">
        <w:rPr>
          <w:rFonts w:cstheme="minorHAnsi"/>
          <w:szCs w:val="22"/>
          <w:lang w:val="fr-BE"/>
        </w:rPr>
        <w:t xml:space="preserve">, </w:t>
      </w:r>
      <w:r w:rsidR="00797C75">
        <w:rPr>
          <w:rFonts w:cstheme="minorHAnsi"/>
          <w:szCs w:val="22"/>
          <w:lang w:val="fr-BE"/>
        </w:rPr>
        <w:t>Avenue KIYEGE N°</w:t>
      </w:r>
      <w:r w:rsidR="00910E33">
        <w:rPr>
          <w:rFonts w:cstheme="minorHAnsi"/>
          <w:szCs w:val="22"/>
          <w:lang w:val="fr-BE"/>
        </w:rPr>
        <w:t xml:space="preserve"> </w:t>
      </w:r>
      <w:r w:rsidR="00797C75">
        <w:rPr>
          <w:rFonts w:cstheme="minorHAnsi"/>
          <w:szCs w:val="22"/>
          <w:lang w:val="fr-BE"/>
        </w:rPr>
        <w:t xml:space="preserve">1 </w:t>
      </w:r>
      <w:r w:rsidRPr="00E53345">
        <w:rPr>
          <w:rFonts w:cstheme="minorHAnsi"/>
          <w:szCs w:val="22"/>
          <w:lang w:val="fr-BE"/>
        </w:rPr>
        <w:t>- Téléph</w:t>
      </w:r>
      <w:r w:rsidR="00797C75">
        <w:rPr>
          <w:rFonts w:cstheme="minorHAnsi"/>
          <w:szCs w:val="22"/>
          <w:lang w:val="fr-BE"/>
        </w:rPr>
        <w:t>one (+257)</w:t>
      </w:r>
      <w:r w:rsidRPr="00E53345">
        <w:rPr>
          <w:rFonts w:cstheme="minorHAnsi"/>
          <w:szCs w:val="22"/>
          <w:lang w:val="fr-BE"/>
        </w:rPr>
        <w:t xml:space="preserve"> – 76 652 176, B.P 24 Bujumbura - e-mail : </w:t>
      </w:r>
      <w:hyperlink r:id="rId7" w:history="1">
        <w:r w:rsidRPr="00E53345">
          <w:rPr>
            <w:rStyle w:val="Lienhypertexte"/>
            <w:rFonts w:cstheme="minorHAnsi"/>
            <w:szCs w:val="22"/>
            <w:lang w:val="fr-BE"/>
          </w:rPr>
          <w:t>capad_shirukubute@yahoo.fr</w:t>
        </w:r>
      </w:hyperlink>
      <w:r w:rsidRPr="00E53345">
        <w:rPr>
          <w:rFonts w:cstheme="minorHAnsi"/>
          <w:szCs w:val="22"/>
          <w:lang w:val="fr-BE"/>
        </w:rPr>
        <w:t xml:space="preserve">, site web: </w:t>
      </w:r>
      <w:hyperlink r:id="rId8" w:history="1">
        <w:r w:rsidRPr="00E53345">
          <w:rPr>
            <w:rStyle w:val="Lienhypertexte"/>
            <w:rFonts w:cstheme="minorHAnsi"/>
            <w:szCs w:val="22"/>
            <w:lang w:val="fr-BE"/>
          </w:rPr>
          <w:t>www.capad.info</w:t>
        </w:r>
      </w:hyperlink>
    </w:p>
    <w:p w14:paraId="6BCF3F3B" w14:textId="77777777" w:rsidR="000841C7" w:rsidRPr="00E53345" w:rsidRDefault="000841C7" w:rsidP="000841C7">
      <w:pPr>
        <w:spacing w:after="240"/>
        <w:ind w:left="360"/>
        <w:rPr>
          <w:rFonts w:cstheme="minorHAnsi"/>
          <w:szCs w:val="22"/>
          <w:lang w:val="fr-BE"/>
        </w:rPr>
      </w:pPr>
      <w:r w:rsidRPr="00E53345">
        <w:rPr>
          <w:rFonts w:cstheme="minorHAnsi"/>
          <w:szCs w:val="22"/>
          <w:lang w:val="fr-BE"/>
        </w:rPr>
        <w:t>ET</w:t>
      </w:r>
    </w:p>
    <w:p w14:paraId="08B9BDF0" w14:textId="29573CF5" w:rsidR="000841C7" w:rsidRPr="00E53345" w:rsidRDefault="00910E33" w:rsidP="000841C7">
      <w:pPr>
        <w:numPr>
          <w:ilvl w:val="0"/>
          <w:numId w:val="11"/>
        </w:numPr>
        <w:spacing w:after="240"/>
        <w:jc w:val="both"/>
        <w:rPr>
          <w:rFonts w:cstheme="minorHAnsi"/>
          <w:szCs w:val="22"/>
          <w:lang w:val="fr-BE"/>
        </w:rPr>
      </w:pPr>
      <w:r>
        <w:rPr>
          <w:rFonts w:cstheme="minorHAnsi"/>
          <w:szCs w:val="22"/>
          <w:lang w:val="fr-BE"/>
        </w:rPr>
        <w:t>Monsieur BUKOBERO Libère - ADIS</w:t>
      </w:r>
      <w:r w:rsidR="000841C7" w:rsidRPr="00E53345">
        <w:rPr>
          <w:rFonts w:cstheme="minorHAnsi"/>
          <w:szCs w:val="22"/>
          <w:lang w:val="fr-BE"/>
        </w:rPr>
        <w:t xml:space="preserve">CO : Quartier </w:t>
      </w:r>
      <w:proofErr w:type="spellStart"/>
      <w:r w:rsidR="000841C7" w:rsidRPr="00E53345">
        <w:rPr>
          <w:rFonts w:cstheme="minorHAnsi"/>
          <w:szCs w:val="22"/>
          <w:lang w:val="fr-BE"/>
        </w:rPr>
        <w:t>Kigobe</w:t>
      </w:r>
      <w:proofErr w:type="spellEnd"/>
      <w:r w:rsidR="000841C7" w:rsidRPr="00E53345">
        <w:rPr>
          <w:rFonts w:cstheme="minorHAnsi"/>
          <w:szCs w:val="22"/>
          <w:lang w:val="fr-BE"/>
        </w:rPr>
        <w:t xml:space="preserve">, Avenue des Etats Unis </w:t>
      </w:r>
      <w:r w:rsidRPr="00E53345">
        <w:rPr>
          <w:rFonts w:cstheme="minorHAnsi"/>
          <w:szCs w:val="22"/>
          <w:lang w:val="fr-BE"/>
        </w:rPr>
        <w:t>N</w:t>
      </w:r>
      <w:r w:rsidR="000841C7" w:rsidRPr="00910E33">
        <w:rPr>
          <w:rFonts w:cstheme="minorHAnsi"/>
          <w:szCs w:val="22"/>
          <w:vertAlign w:val="superscript"/>
          <w:lang w:val="fr-BE"/>
        </w:rPr>
        <w:t>o</w:t>
      </w:r>
      <w:r w:rsidR="000841C7" w:rsidRPr="00E53345">
        <w:rPr>
          <w:rFonts w:cstheme="minorHAnsi"/>
          <w:szCs w:val="22"/>
          <w:lang w:val="fr-BE"/>
        </w:rPr>
        <w:t xml:space="preserve"> 31, B.P. 2695 Bujumbura (Burundi) - Tél (257) 22 25 75 20 – e-mail : </w:t>
      </w:r>
      <w:hyperlink r:id="rId9" w:history="1">
        <w:r w:rsidR="000841C7" w:rsidRPr="00E53345">
          <w:rPr>
            <w:rStyle w:val="Lienhypertexte"/>
            <w:rFonts w:cstheme="minorHAnsi"/>
            <w:szCs w:val="22"/>
            <w:lang w:val="fr-BE"/>
          </w:rPr>
          <w:t>info@adisco.org</w:t>
        </w:r>
      </w:hyperlink>
      <w:r w:rsidR="000841C7" w:rsidRPr="00E53345">
        <w:rPr>
          <w:rFonts w:cstheme="minorHAnsi"/>
          <w:szCs w:val="22"/>
          <w:lang w:val="fr-BE"/>
        </w:rPr>
        <w:t xml:space="preserve"> - site web: </w:t>
      </w:r>
      <w:hyperlink r:id="rId10" w:history="1">
        <w:r w:rsidR="000841C7" w:rsidRPr="00E53345">
          <w:rPr>
            <w:rStyle w:val="Lienhypertexte"/>
            <w:rFonts w:cstheme="minorHAnsi"/>
            <w:szCs w:val="22"/>
            <w:lang w:val="fr-BE"/>
          </w:rPr>
          <w:t>www.adisco.org</w:t>
        </w:r>
      </w:hyperlink>
    </w:p>
    <w:p w14:paraId="58B84B45" w14:textId="77777777" w:rsidR="000841C7" w:rsidRPr="00E53345" w:rsidRDefault="000841C7" w:rsidP="000841C7">
      <w:pPr>
        <w:spacing w:after="240"/>
        <w:jc w:val="both"/>
        <w:rPr>
          <w:rFonts w:cstheme="minorHAnsi"/>
          <w:szCs w:val="22"/>
          <w:lang w:val="fr-BE"/>
        </w:rPr>
      </w:pPr>
      <w:r w:rsidRPr="00E53345">
        <w:rPr>
          <w:rFonts w:cstheme="minorHAnsi"/>
          <w:szCs w:val="22"/>
          <w:lang w:val="fr-BE"/>
        </w:rPr>
        <w:t>Les documents à fournir sont les spécifications techniques lors de l’analyse des offres, l’offre technique, l’offre financière, la garantie, la grille de conformité administrative, la déclaration l’honneur ainsi que le formulaire de soumission.</w:t>
      </w:r>
    </w:p>
    <w:p w14:paraId="312C80EA" w14:textId="77777777" w:rsidR="000841C7" w:rsidRPr="00E53345" w:rsidRDefault="000841C7" w:rsidP="000841C7">
      <w:pPr>
        <w:autoSpaceDE w:val="0"/>
        <w:autoSpaceDN w:val="0"/>
        <w:adjustRightInd w:val="0"/>
        <w:jc w:val="both"/>
        <w:rPr>
          <w:rFonts w:cstheme="minorHAnsi"/>
          <w:b/>
          <w:szCs w:val="22"/>
          <w:lang w:val="fr-BE"/>
        </w:rPr>
      </w:pPr>
      <w:r w:rsidRPr="00E53345">
        <w:rPr>
          <w:rFonts w:cstheme="minorHAnsi"/>
          <w:szCs w:val="22"/>
          <w:lang w:val="fr-BE"/>
        </w:rPr>
        <w:t>Toute communication écrite relative au présent contrat, entre le pouvoir adjudicateur et/ou le gestionnaire du projet, d'une part et le titulaire d'autre part, doit indiquer l'intitulé du contrat et son numéro d'identification et doit être adressée par courriel postal, fax, courriel électronique ou par porteur.</w:t>
      </w:r>
    </w:p>
    <w:p w14:paraId="135A6B99" w14:textId="77777777" w:rsidR="000841C7" w:rsidRPr="00E53345" w:rsidRDefault="000841C7" w:rsidP="000841C7">
      <w:pPr>
        <w:spacing w:before="240" w:after="240"/>
        <w:ind w:left="1134" w:hanging="1134"/>
        <w:jc w:val="both"/>
        <w:rPr>
          <w:rFonts w:cstheme="minorHAnsi"/>
          <w:b/>
          <w:szCs w:val="22"/>
          <w:lang w:val="fr-BE"/>
        </w:rPr>
      </w:pPr>
      <w:bookmarkStart w:id="2" w:name="_Toc124934898"/>
      <w:r w:rsidRPr="00E53345">
        <w:rPr>
          <w:rFonts w:cstheme="minorHAnsi"/>
          <w:b/>
          <w:szCs w:val="22"/>
          <w:lang w:val="fr-BE"/>
        </w:rPr>
        <w:t>Article 7</w:t>
      </w:r>
      <w:r w:rsidRPr="00E53345">
        <w:rPr>
          <w:rFonts w:cstheme="minorHAnsi"/>
          <w:szCs w:val="22"/>
          <w:lang w:val="fr-BE"/>
        </w:rPr>
        <w:tab/>
      </w:r>
      <w:r w:rsidRPr="00E53345">
        <w:rPr>
          <w:rFonts w:cstheme="minorHAnsi"/>
          <w:b/>
          <w:szCs w:val="22"/>
          <w:lang w:val="fr-BE"/>
        </w:rPr>
        <w:t>Documents à fournir</w:t>
      </w:r>
      <w:bookmarkEnd w:id="2"/>
    </w:p>
    <w:p w14:paraId="0EDE9737" w14:textId="77777777" w:rsidR="000841C7" w:rsidRPr="00E53345" w:rsidRDefault="000841C7" w:rsidP="000841C7">
      <w:pPr>
        <w:jc w:val="both"/>
        <w:rPr>
          <w:rFonts w:cstheme="minorHAnsi"/>
          <w:b/>
          <w:szCs w:val="22"/>
          <w:lang w:val="fr-BE"/>
        </w:rPr>
      </w:pPr>
      <w:r w:rsidRPr="00E53345">
        <w:rPr>
          <w:rFonts w:cstheme="minorHAnsi"/>
          <w:szCs w:val="22"/>
          <w:lang w:val="fr-BE"/>
        </w:rPr>
        <w:t>Le contractant doit fournir la description détaillée des biens offerts conformément aux spécifications techniques, incluant, le cas échéant, la documentation requise en langue française sur tirage papier et en version électronique.</w:t>
      </w:r>
    </w:p>
    <w:p w14:paraId="0C5BC92A" w14:textId="77777777" w:rsidR="000841C7" w:rsidRPr="00E53345" w:rsidRDefault="000841C7" w:rsidP="000841C7">
      <w:pPr>
        <w:spacing w:before="240" w:after="240"/>
        <w:ind w:left="1134" w:hanging="1134"/>
        <w:jc w:val="both"/>
        <w:rPr>
          <w:rFonts w:cstheme="minorHAnsi"/>
          <w:b/>
          <w:szCs w:val="22"/>
          <w:lang w:val="fr-BE"/>
        </w:rPr>
      </w:pPr>
      <w:bookmarkStart w:id="3" w:name="_Toc124934899"/>
      <w:r w:rsidRPr="00E53345">
        <w:rPr>
          <w:rFonts w:cstheme="minorHAnsi"/>
          <w:b/>
          <w:szCs w:val="22"/>
          <w:lang w:val="fr-BE"/>
        </w:rPr>
        <w:t>Article 8</w:t>
      </w:r>
      <w:r w:rsidRPr="00E53345">
        <w:rPr>
          <w:rFonts w:cstheme="minorHAnsi"/>
          <w:szCs w:val="22"/>
          <w:lang w:val="fr-BE"/>
        </w:rPr>
        <w:tab/>
      </w:r>
      <w:r w:rsidRPr="00E53345">
        <w:rPr>
          <w:rFonts w:cstheme="minorHAnsi"/>
          <w:b/>
          <w:szCs w:val="22"/>
          <w:lang w:val="fr-BE"/>
        </w:rPr>
        <w:t>Aide en matière de réglementation locale</w:t>
      </w:r>
      <w:bookmarkEnd w:id="3"/>
    </w:p>
    <w:p w14:paraId="3840FBDE" w14:textId="77777777" w:rsidR="000841C7" w:rsidRPr="00E53345" w:rsidRDefault="000841C7" w:rsidP="000841C7">
      <w:pPr>
        <w:jc w:val="both"/>
        <w:rPr>
          <w:rFonts w:cstheme="minorHAnsi"/>
          <w:szCs w:val="22"/>
          <w:lang w:val="fr-BE"/>
        </w:rPr>
      </w:pPr>
      <w:r w:rsidRPr="00E53345">
        <w:rPr>
          <w:rFonts w:cstheme="minorHAnsi"/>
          <w:szCs w:val="22"/>
          <w:lang w:val="fr-BE"/>
        </w:rPr>
        <w:t>Le contractant est tenu de se conformer à la réglementation en vigueur au Burundi</w:t>
      </w:r>
    </w:p>
    <w:p w14:paraId="300B428D" w14:textId="77777777" w:rsidR="000841C7" w:rsidRPr="00E53345" w:rsidRDefault="000841C7" w:rsidP="000841C7">
      <w:pPr>
        <w:tabs>
          <w:tab w:val="left" w:pos="0"/>
        </w:tabs>
        <w:ind w:right="-285"/>
        <w:jc w:val="both"/>
        <w:rPr>
          <w:rFonts w:cstheme="minorHAnsi"/>
          <w:szCs w:val="22"/>
          <w:lang w:val="fr-BE"/>
        </w:rPr>
      </w:pPr>
    </w:p>
    <w:p w14:paraId="3B04D8F7" w14:textId="77777777" w:rsidR="000841C7" w:rsidRPr="00E53345" w:rsidRDefault="000841C7" w:rsidP="000841C7">
      <w:pPr>
        <w:keepNext/>
        <w:spacing w:before="240"/>
        <w:jc w:val="both"/>
        <w:rPr>
          <w:rFonts w:cstheme="minorHAnsi"/>
          <w:b/>
          <w:szCs w:val="22"/>
          <w:lang w:val="fr-BE"/>
        </w:rPr>
      </w:pPr>
      <w:bookmarkStart w:id="4" w:name="_Toc124934900"/>
      <w:r w:rsidRPr="00E53345">
        <w:rPr>
          <w:rFonts w:cstheme="minorHAnsi"/>
          <w:b/>
          <w:szCs w:val="22"/>
          <w:lang w:val="fr-BE"/>
        </w:rPr>
        <w:lastRenderedPageBreak/>
        <w:t>Article 10</w:t>
      </w:r>
      <w:r w:rsidRPr="00E53345">
        <w:rPr>
          <w:rFonts w:cstheme="minorHAnsi"/>
          <w:szCs w:val="22"/>
          <w:lang w:val="fr-BE"/>
        </w:rPr>
        <w:tab/>
      </w:r>
      <w:r w:rsidRPr="00E53345">
        <w:rPr>
          <w:rFonts w:cstheme="minorHAnsi"/>
          <w:b/>
          <w:szCs w:val="22"/>
          <w:lang w:val="fr-BE"/>
        </w:rPr>
        <w:t>Origine</w:t>
      </w:r>
      <w:bookmarkEnd w:id="4"/>
    </w:p>
    <w:p w14:paraId="440448FB" w14:textId="77777777" w:rsidR="000841C7" w:rsidRPr="00E53345" w:rsidRDefault="000841C7" w:rsidP="000841C7">
      <w:pPr>
        <w:pStyle w:val="Titre2"/>
        <w:keepNext w:val="0"/>
        <w:numPr>
          <w:ilvl w:val="1"/>
          <w:numId w:val="0"/>
        </w:numPr>
        <w:jc w:val="both"/>
        <w:rPr>
          <w:rFonts w:asciiTheme="minorHAnsi" w:hAnsiTheme="minorHAnsi" w:cstheme="minorHAnsi"/>
          <w:b w:val="0"/>
          <w:color w:val="auto"/>
          <w:sz w:val="22"/>
          <w:szCs w:val="22"/>
          <w:lang w:val="fr-BE"/>
        </w:rPr>
      </w:pPr>
      <w:r w:rsidRPr="00E53345">
        <w:rPr>
          <w:rFonts w:asciiTheme="minorHAnsi" w:hAnsiTheme="minorHAnsi" w:cstheme="minorHAnsi"/>
          <w:b w:val="0"/>
          <w:color w:val="auto"/>
          <w:sz w:val="22"/>
          <w:szCs w:val="22"/>
          <w:lang w:val="fr-BE"/>
        </w:rPr>
        <w:t>10.1</w:t>
      </w:r>
      <w:r w:rsidRPr="00E53345">
        <w:rPr>
          <w:rFonts w:asciiTheme="minorHAnsi" w:hAnsiTheme="minorHAnsi" w:cstheme="minorHAnsi"/>
          <w:b w:val="0"/>
          <w:color w:val="auto"/>
          <w:sz w:val="22"/>
          <w:szCs w:val="22"/>
          <w:lang w:val="fr-BE"/>
        </w:rPr>
        <w:tab/>
      </w:r>
      <w:bookmarkStart w:id="5" w:name="_Toc124934901"/>
      <w:r w:rsidRPr="00E53345">
        <w:rPr>
          <w:rFonts w:asciiTheme="minorHAnsi" w:hAnsiTheme="minorHAnsi" w:cstheme="minorHAnsi"/>
          <w:b w:val="0"/>
          <w:color w:val="auto"/>
          <w:sz w:val="22"/>
          <w:szCs w:val="22"/>
          <w:lang w:val="fr-BE"/>
        </w:rPr>
        <w:t>Tous les biens achetés doivent provenir d'un État membre de l'Union européenne ou d'un pays couvert par l'accord de partenariat ACP-CE au titre duquel le marché est financé. Aux fins de la présente disposition, l'«origine» signifie l’endroit où les biens sont extraits, cultivés, produits ou manufacturés et/ou d’où les services sont prestés. L'origine des biens doit être déterminée en accord avec le code des douanes de l'Union européenne ou la convention internationale applicable en l'espèce.</w:t>
      </w:r>
    </w:p>
    <w:p w14:paraId="7370A96F" w14:textId="77777777" w:rsidR="000841C7" w:rsidRPr="00E53345" w:rsidRDefault="000841C7" w:rsidP="000841C7">
      <w:pPr>
        <w:pStyle w:val="Titre2"/>
        <w:keepNext w:val="0"/>
        <w:numPr>
          <w:ilvl w:val="1"/>
          <w:numId w:val="0"/>
        </w:numPr>
        <w:spacing w:after="240"/>
        <w:jc w:val="both"/>
        <w:rPr>
          <w:rFonts w:asciiTheme="minorHAnsi" w:hAnsiTheme="minorHAnsi" w:cstheme="minorHAnsi"/>
          <w:color w:val="auto"/>
          <w:sz w:val="22"/>
          <w:szCs w:val="22"/>
          <w:lang w:val="fr-BE"/>
        </w:rPr>
      </w:pPr>
      <w:r w:rsidRPr="00E53345">
        <w:rPr>
          <w:rFonts w:asciiTheme="minorHAnsi" w:hAnsiTheme="minorHAnsi" w:cstheme="minorHAnsi"/>
          <w:color w:val="auto"/>
          <w:sz w:val="22"/>
          <w:szCs w:val="22"/>
          <w:lang w:val="fr-BE"/>
        </w:rPr>
        <w:t>Article 11</w:t>
      </w:r>
      <w:r w:rsidRPr="00E53345">
        <w:rPr>
          <w:rFonts w:asciiTheme="minorHAnsi" w:hAnsiTheme="minorHAnsi" w:cstheme="minorHAnsi"/>
          <w:color w:val="auto"/>
          <w:sz w:val="22"/>
          <w:szCs w:val="22"/>
          <w:lang w:val="fr-BE"/>
        </w:rPr>
        <w:tab/>
        <w:t>Garantie de bonne exécution</w:t>
      </w:r>
      <w:bookmarkEnd w:id="5"/>
    </w:p>
    <w:p w14:paraId="442108E0" w14:textId="6BE27231" w:rsidR="000841C7" w:rsidRPr="00E53345" w:rsidRDefault="000841C7" w:rsidP="000841C7">
      <w:pPr>
        <w:jc w:val="both"/>
        <w:rPr>
          <w:rFonts w:cstheme="minorHAnsi"/>
          <w:szCs w:val="22"/>
          <w:lang w:val="fr-BE"/>
        </w:rPr>
      </w:pPr>
      <w:r w:rsidRPr="00E53345">
        <w:rPr>
          <w:rFonts w:cstheme="minorHAnsi"/>
          <w:szCs w:val="22"/>
          <w:lang w:val="fr-BE"/>
        </w:rPr>
        <w:t>11.1</w:t>
      </w:r>
      <w:r w:rsidRPr="00E53345">
        <w:rPr>
          <w:rFonts w:cstheme="minorHAnsi"/>
          <w:szCs w:val="22"/>
          <w:lang w:val="fr-BE"/>
        </w:rPr>
        <w:tab/>
        <w:t xml:space="preserve">La garantie de bonne exécution visée par les conditions générales est fixée à </w:t>
      </w:r>
      <w:r w:rsidR="0013763B" w:rsidRPr="00E53345">
        <w:rPr>
          <w:rFonts w:cstheme="minorHAnsi"/>
          <w:szCs w:val="22"/>
          <w:lang w:val="fr-BE"/>
        </w:rPr>
        <w:t>5</w:t>
      </w:r>
      <w:r w:rsidRPr="00E53345">
        <w:rPr>
          <w:rFonts w:cstheme="minorHAnsi"/>
          <w:szCs w:val="22"/>
          <w:lang w:val="fr-BE"/>
        </w:rPr>
        <w:t>% du montant du marché et devra être présentée selon le modèle figurant en annexe au dossier d'appel d'offres. Elle sera libérée dans les 45 jours suivant la délivrance du certificat de réception définitive par le pouvoir adjudicateur, sauf pour la partie imputable au service après-vente.</w:t>
      </w:r>
    </w:p>
    <w:p w14:paraId="425E5576" w14:textId="77777777" w:rsidR="000841C7" w:rsidRPr="00E53345" w:rsidRDefault="000841C7" w:rsidP="000841C7">
      <w:pPr>
        <w:spacing w:before="240"/>
        <w:ind w:left="1134" w:hanging="1134"/>
        <w:jc w:val="both"/>
        <w:rPr>
          <w:rFonts w:cstheme="minorHAnsi"/>
          <w:b/>
          <w:szCs w:val="22"/>
          <w:lang w:val="fr-BE"/>
        </w:rPr>
      </w:pPr>
      <w:bookmarkStart w:id="6" w:name="_Toc124934902"/>
      <w:r w:rsidRPr="00E53345">
        <w:rPr>
          <w:rFonts w:cstheme="minorHAnsi"/>
          <w:b/>
          <w:szCs w:val="22"/>
          <w:lang w:val="fr-BE"/>
        </w:rPr>
        <w:t>Article 12</w:t>
      </w:r>
      <w:r w:rsidRPr="00E53345">
        <w:rPr>
          <w:rFonts w:cstheme="minorHAnsi"/>
          <w:szCs w:val="22"/>
          <w:lang w:val="fr-BE"/>
        </w:rPr>
        <w:tab/>
      </w:r>
      <w:r w:rsidRPr="00E53345">
        <w:rPr>
          <w:rFonts w:cstheme="minorHAnsi"/>
          <w:b/>
          <w:szCs w:val="22"/>
          <w:lang w:val="fr-BE"/>
        </w:rPr>
        <w:t>Responsabilités et assurances</w:t>
      </w:r>
      <w:bookmarkEnd w:id="6"/>
    </w:p>
    <w:p w14:paraId="380172C6" w14:textId="77777777" w:rsidR="000841C7" w:rsidRPr="00E53345" w:rsidRDefault="000841C7" w:rsidP="000841C7">
      <w:pPr>
        <w:spacing w:before="240"/>
        <w:jc w:val="both"/>
        <w:rPr>
          <w:rFonts w:cstheme="minorHAnsi"/>
          <w:b/>
          <w:i/>
          <w:szCs w:val="22"/>
          <w:lang w:val="fr-BE"/>
        </w:rPr>
      </w:pPr>
      <w:r w:rsidRPr="00E53345">
        <w:rPr>
          <w:rFonts w:cstheme="minorHAnsi"/>
          <w:b/>
          <w:i/>
          <w:szCs w:val="22"/>
          <w:lang w:val="fr-BE"/>
        </w:rPr>
        <w:t>12.1a)</w:t>
      </w:r>
      <w:r w:rsidRPr="00E53345">
        <w:rPr>
          <w:rFonts w:cstheme="minorHAnsi"/>
          <w:b/>
          <w:i/>
          <w:szCs w:val="22"/>
          <w:lang w:val="fr-BE"/>
        </w:rPr>
        <w:tab/>
        <w:t>Responsabilités en cas de dommage aux fournitures</w:t>
      </w:r>
    </w:p>
    <w:p w14:paraId="2A9CE6C7" w14:textId="77777777" w:rsidR="000841C7" w:rsidRPr="00E53345" w:rsidRDefault="000841C7" w:rsidP="000841C7">
      <w:pPr>
        <w:spacing w:before="240"/>
        <w:jc w:val="both"/>
        <w:rPr>
          <w:rFonts w:cstheme="minorHAnsi"/>
          <w:szCs w:val="22"/>
          <w:lang w:val="fr-BE"/>
        </w:rPr>
      </w:pPr>
      <w:r w:rsidRPr="00E53345">
        <w:rPr>
          <w:rFonts w:cstheme="minorHAnsi"/>
          <w:b/>
          <w:i/>
          <w:szCs w:val="22"/>
          <w:lang w:val="fr-BE"/>
        </w:rPr>
        <w:tab/>
      </w:r>
      <w:r w:rsidRPr="00E53345">
        <w:rPr>
          <w:rFonts w:cstheme="minorHAnsi"/>
          <w:szCs w:val="22"/>
          <w:lang w:val="fr-BE"/>
        </w:rPr>
        <w:t>Aucune dérogation à</w:t>
      </w:r>
      <w:r w:rsidRPr="00E53345">
        <w:rPr>
          <w:rFonts w:cstheme="minorHAnsi"/>
          <w:b/>
          <w:szCs w:val="22"/>
          <w:lang w:val="fr-BE"/>
        </w:rPr>
        <w:t xml:space="preserve"> </w:t>
      </w:r>
      <w:r w:rsidRPr="00E53345">
        <w:rPr>
          <w:rFonts w:cstheme="minorHAnsi"/>
          <w:szCs w:val="22"/>
          <w:lang w:val="fr-BE"/>
        </w:rPr>
        <w:t>l’article 12 des conditions générales n’est prévue.</w:t>
      </w:r>
    </w:p>
    <w:p w14:paraId="604E39C1" w14:textId="77777777" w:rsidR="000841C7" w:rsidRPr="00E53345" w:rsidRDefault="000841C7" w:rsidP="000841C7">
      <w:pPr>
        <w:spacing w:before="240"/>
        <w:jc w:val="both"/>
        <w:rPr>
          <w:rFonts w:cstheme="minorHAnsi"/>
          <w:b/>
          <w:i/>
          <w:szCs w:val="22"/>
          <w:lang w:val="fr-BE"/>
        </w:rPr>
      </w:pPr>
      <w:r w:rsidRPr="00E53345">
        <w:rPr>
          <w:rFonts w:cstheme="minorHAnsi"/>
          <w:b/>
          <w:i/>
          <w:szCs w:val="22"/>
          <w:lang w:val="fr-BE"/>
        </w:rPr>
        <w:t>12.1b)</w:t>
      </w:r>
      <w:r w:rsidRPr="00E53345">
        <w:rPr>
          <w:rFonts w:cstheme="minorHAnsi"/>
          <w:b/>
          <w:i/>
          <w:szCs w:val="22"/>
          <w:lang w:val="fr-BE"/>
        </w:rPr>
        <w:tab/>
        <w:t>Responsabilités en cas de dommage au pouvoir adjudicateur</w:t>
      </w:r>
    </w:p>
    <w:p w14:paraId="340A9CAC" w14:textId="77777777" w:rsidR="000841C7" w:rsidRPr="00E53345" w:rsidRDefault="000841C7" w:rsidP="000841C7">
      <w:pPr>
        <w:spacing w:before="240"/>
        <w:jc w:val="both"/>
        <w:rPr>
          <w:rFonts w:cstheme="minorHAnsi"/>
          <w:szCs w:val="22"/>
          <w:lang w:val="fr-BE"/>
        </w:rPr>
      </w:pPr>
      <w:r w:rsidRPr="00E53345">
        <w:rPr>
          <w:rFonts w:cstheme="minorHAnsi"/>
          <w:szCs w:val="22"/>
          <w:lang w:val="fr-BE"/>
        </w:rPr>
        <w:tab/>
        <w:t>Aucune dérogation à</w:t>
      </w:r>
      <w:r w:rsidRPr="00E53345">
        <w:rPr>
          <w:rFonts w:cstheme="minorHAnsi"/>
          <w:b/>
          <w:szCs w:val="22"/>
          <w:lang w:val="fr-BE"/>
        </w:rPr>
        <w:t xml:space="preserve"> </w:t>
      </w:r>
      <w:r w:rsidRPr="00E53345">
        <w:rPr>
          <w:rFonts w:cstheme="minorHAnsi"/>
          <w:szCs w:val="22"/>
          <w:lang w:val="fr-BE"/>
        </w:rPr>
        <w:t>l’article 12 des conditions générales n’est prévue.</w:t>
      </w:r>
    </w:p>
    <w:p w14:paraId="16293A1E" w14:textId="77777777" w:rsidR="000841C7" w:rsidRPr="00E53345" w:rsidRDefault="000841C7" w:rsidP="000841C7">
      <w:pPr>
        <w:spacing w:before="240"/>
        <w:jc w:val="both"/>
        <w:rPr>
          <w:rFonts w:cstheme="minorHAnsi"/>
          <w:b/>
          <w:i/>
          <w:szCs w:val="22"/>
          <w:lang w:val="fr-BE"/>
        </w:rPr>
      </w:pPr>
      <w:r w:rsidRPr="00E53345">
        <w:rPr>
          <w:rFonts w:cstheme="minorHAnsi"/>
          <w:b/>
          <w:i/>
          <w:szCs w:val="22"/>
          <w:lang w:val="fr-BE"/>
        </w:rPr>
        <w:t xml:space="preserve">12.2a), 1er alinéa Exigences de preuve de conclusion des assurances adéquates </w:t>
      </w:r>
    </w:p>
    <w:p w14:paraId="46A75D40" w14:textId="77777777" w:rsidR="000841C7" w:rsidRPr="00E53345" w:rsidRDefault="000841C7" w:rsidP="000841C7">
      <w:pPr>
        <w:spacing w:before="240"/>
        <w:jc w:val="both"/>
        <w:rPr>
          <w:rFonts w:cstheme="minorHAnsi"/>
          <w:szCs w:val="22"/>
          <w:lang w:val="fr-BE"/>
        </w:rPr>
      </w:pPr>
      <w:r w:rsidRPr="00E53345">
        <w:rPr>
          <w:rFonts w:cstheme="minorHAnsi"/>
          <w:szCs w:val="22"/>
          <w:lang w:val="fr-BE"/>
        </w:rPr>
        <w:tab/>
        <w:t>Aucune dérogation à</w:t>
      </w:r>
      <w:r w:rsidRPr="00E53345">
        <w:rPr>
          <w:rFonts w:cstheme="minorHAnsi"/>
          <w:b/>
          <w:szCs w:val="22"/>
          <w:lang w:val="fr-BE"/>
        </w:rPr>
        <w:t xml:space="preserve"> </w:t>
      </w:r>
      <w:r w:rsidRPr="00E53345">
        <w:rPr>
          <w:rFonts w:cstheme="minorHAnsi"/>
          <w:szCs w:val="22"/>
          <w:lang w:val="fr-BE"/>
        </w:rPr>
        <w:t>l’article 12 des conditions générales n’est prévue.</w:t>
      </w:r>
    </w:p>
    <w:p w14:paraId="1DB13D9D" w14:textId="77777777" w:rsidR="000841C7" w:rsidRPr="00E53345" w:rsidRDefault="000841C7" w:rsidP="000841C7">
      <w:pPr>
        <w:spacing w:before="240"/>
        <w:jc w:val="both"/>
        <w:rPr>
          <w:rFonts w:cstheme="minorHAnsi"/>
          <w:b/>
          <w:i/>
          <w:szCs w:val="22"/>
          <w:lang w:val="fr-BE"/>
        </w:rPr>
      </w:pPr>
      <w:r w:rsidRPr="00E53345">
        <w:rPr>
          <w:rFonts w:cstheme="minorHAnsi"/>
          <w:b/>
          <w:i/>
          <w:szCs w:val="22"/>
          <w:lang w:val="fr-BE"/>
        </w:rPr>
        <w:t xml:space="preserve">12.2a), 2e alinéa Exigences de communication des notes de couvertures et/ou certificats d'assurances </w:t>
      </w:r>
    </w:p>
    <w:p w14:paraId="33956FF3" w14:textId="77777777" w:rsidR="000841C7" w:rsidRPr="00E53345" w:rsidRDefault="000841C7" w:rsidP="000841C7">
      <w:pPr>
        <w:spacing w:before="240"/>
        <w:jc w:val="both"/>
        <w:rPr>
          <w:rFonts w:cstheme="minorHAnsi"/>
          <w:szCs w:val="22"/>
          <w:lang w:val="fr-BE"/>
        </w:rPr>
      </w:pPr>
      <w:r w:rsidRPr="00E53345">
        <w:rPr>
          <w:rFonts w:cstheme="minorHAnsi"/>
          <w:szCs w:val="22"/>
          <w:lang w:val="fr-BE"/>
        </w:rPr>
        <w:tab/>
      </w:r>
      <w:r w:rsidRPr="00E53345">
        <w:rPr>
          <w:rFonts w:cstheme="minorHAnsi"/>
          <w:i/>
          <w:szCs w:val="22"/>
          <w:lang w:val="fr-BE"/>
        </w:rPr>
        <w:t>Aucune dérogation à</w:t>
      </w:r>
      <w:r w:rsidRPr="00E53345">
        <w:rPr>
          <w:rFonts w:cstheme="minorHAnsi"/>
          <w:b/>
          <w:szCs w:val="22"/>
          <w:lang w:val="fr-BE"/>
        </w:rPr>
        <w:t xml:space="preserve"> </w:t>
      </w:r>
      <w:r w:rsidRPr="00E53345">
        <w:rPr>
          <w:rFonts w:cstheme="minorHAnsi"/>
          <w:szCs w:val="22"/>
          <w:lang w:val="fr-BE"/>
        </w:rPr>
        <w:t>l’article 12 des conditions générales n’est prévue.</w:t>
      </w:r>
    </w:p>
    <w:p w14:paraId="06F494CC" w14:textId="77777777" w:rsidR="000841C7" w:rsidRPr="00E53345" w:rsidRDefault="000841C7" w:rsidP="000841C7">
      <w:pPr>
        <w:spacing w:before="240"/>
        <w:jc w:val="both"/>
        <w:rPr>
          <w:rFonts w:cstheme="minorHAnsi"/>
          <w:b/>
          <w:i/>
          <w:szCs w:val="22"/>
          <w:lang w:val="fr-BE"/>
        </w:rPr>
      </w:pPr>
      <w:r w:rsidRPr="00E53345">
        <w:rPr>
          <w:rFonts w:cstheme="minorHAnsi"/>
          <w:b/>
          <w:i/>
          <w:szCs w:val="22"/>
          <w:lang w:val="fr-BE"/>
        </w:rPr>
        <w:t>12.2b), 2e alinéa Exigences spécifiques en matière d'assurances «transport»</w:t>
      </w:r>
    </w:p>
    <w:p w14:paraId="242E96E7" w14:textId="77777777" w:rsidR="00E53345" w:rsidRDefault="00E53345" w:rsidP="00E53345">
      <w:pPr>
        <w:jc w:val="both"/>
        <w:rPr>
          <w:rFonts w:cstheme="minorHAnsi"/>
          <w:szCs w:val="22"/>
          <w:lang w:val="fr-BE"/>
        </w:rPr>
      </w:pPr>
    </w:p>
    <w:p w14:paraId="3B9F775D" w14:textId="69C46386" w:rsidR="003A72C7" w:rsidRDefault="000841C7" w:rsidP="00E53345">
      <w:pPr>
        <w:jc w:val="both"/>
        <w:rPr>
          <w:rFonts w:cstheme="minorHAnsi"/>
          <w:szCs w:val="22"/>
          <w:lang w:val="fr-BE"/>
        </w:rPr>
      </w:pPr>
      <w:r w:rsidRPr="00E53345">
        <w:rPr>
          <w:rFonts w:cstheme="minorHAnsi"/>
          <w:szCs w:val="22"/>
          <w:lang w:val="fr-BE"/>
        </w:rPr>
        <w:t xml:space="preserve">Le contractant doit prévoir l’assurance « transport » dans la mesure où il assume les risques de transport. </w:t>
      </w:r>
    </w:p>
    <w:p w14:paraId="2A5FE580" w14:textId="77777777" w:rsidR="00E53345" w:rsidRPr="00E53345" w:rsidRDefault="00E53345" w:rsidP="00E53345">
      <w:pPr>
        <w:jc w:val="both"/>
        <w:rPr>
          <w:rFonts w:cstheme="minorHAnsi"/>
          <w:szCs w:val="22"/>
          <w:lang w:val="fr-BE"/>
        </w:rPr>
      </w:pPr>
    </w:p>
    <w:p w14:paraId="5C34CFFF" w14:textId="2228533E" w:rsidR="00D85914" w:rsidRPr="00D85914" w:rsidRDefault="003A72C7" w:rsidP="00D85914">
      <w:pPr>
        <w:jc w:val="both"/>
        <w:rPr>
          <w:color w:val="222222"/>
          <w:szCs w:val="22"/>
          <w:lang w:val="fr-FR"/>
        </w:rPr>
      </w:pPr>
      <w:r w:rsidRPr="00D85914">
        <w:rPr>
          <w:color w:val="222222"/>
          <w:szCs w:val="22"/>
          <w:lang w:val="fr-FR"/>
        </w:rPr>
        <w:t>L’incoterm utilisé est le D</w:t>
      </w:r>
      <w:r w:rsidR="00797C75">
        <w:rPr>
          <w:color w:val="222222"/>
          <w:szCs w:val="22"/>
          <w:lang w:val="fr-FR"/>
        </w:rPr>
        <w:t>D</w:t>
      </w:r>
      <w:r w:rsidRPr="00D85914">
        <w:rPr>
          <w:color w:val="222222"/>
          <w:szCs w:val="22"/>
          <w:lang w:val="fr-FR"/>
        </w:rPr>
        <w:t>P (</w:t>
      </w:r>
      <w:proofErr w:type="spellStart"/>
      <w:r w:rsidR="00797C75" w:rsidRPr="00507A53">
        <w:rPr>
          <w:rFonts w:ascii="Times New Roman" w:hAnsi="Times New Roman"/>
        </w:rPr>
        <w:t>Delivered</w:t>
      </w:r>
      <w:proofErr w:type="spellEnd"/>
      <w:r w:rsidR="00797C75" w:rsidRPr="00507A53">
        <w:rPr>
          <w:rFonts w:ascii="Times New Roman" w:hAnsi="Times New Roman"/>
        </w:rPr>
        <w:t xml:space="preserve"> </w:t>
      </w:r>
      <w:proofErr w:type="spellStart"/>
      <w:r w:rsidR="00797C75" w:rsidRPr="00507A53">
        <w:rPr>
          <w:rFonts w:ascii="Times New Roman" w:hAnsi="Times New Roman"/>
        </w:rPr>
        <w:t>Duty</w:t>
      </w:r>
      <w:proofErr w:type="spellEnd"/>
      <w:r w:rsidR="00797C75" w:rsidRPr="00507A53">
        <w:rPr>
          <w:rFonts w:ascii="Times New Roman" w:hAnsi="Times New Roman"/>
        </w:rPr>
        <w:t xml:space="preserve"> </w:t>
      </w:r>
      <w:proofErr w:type="spellStart"/>
      <w:r w:rsidR="00797C75" w:rsidRPr="00507A53">
        <w:rPr>
          <w:rFonts w:ascii="Times New Roman" w:hAnsi="Times New Roman"/>
        </w:rPr>
        <w:t>Paid</w:t>
      </w:r>
      <w:proofErr w:type="spellEnd"/>
      <w:r w:rsidR="00797C75" w:rsidRPr="00507A53">
        <w:rPr>
          <w:rFonts w:ascii="Times New Roman" w:hAnsi="Times New Roman"/>
        </w:rPr>
        <w:t xml:space="preserve"> = </w:t>
      </w:r>
      <w:proofErr w:type="spellStart"/>
      <w:r w:rsidR="00797C75" w:rsidRPr="00507A53">
        <w:rPr>
          <w:rFonts w:ascii="Times New Roman" w:hAnsi="Times New Roman"/>
        </w:rPr>
        <w:t>Rendu</w:t>
      </w:r>
      <w:proofErr w:type="spellEnd"/>
      <w:r w:rsidR="00797C75" w:rsidRPr="00507A53">
        <w:rPr>
          <w:rFonts w:ascii="Times New Roman" w:hAnsi="Times New Roman"/>
        </w:rPr>
        <w:t xml:space="preserve"> </w:t>
      </w:r>
      <w:proofErr w:type="spellStart"/>
      <w:r w:rsidR="00797C75" w:rsidRPr="00507A53">
        <w:rPr>
          <w:rFonts w:ascii="Times New Roman" w:hAnsi="Times New Roman"/>
        </w:rPr>
        <w:t>droits</w:t>
      </w:r>
      <w:proofErr w:type="spellEnd"/>
      <w:r w:rsidR="00797C75" w:rsidRPr="00507A53">
        <w:rPr>
          <w:rFonts w:ascii="Times New Roman" w:hAnsi="Times New Roman"/>
        </w:rPr>
        <w:t xml:space="preserve"> </w:t>
      </w:r>
      <w:proofErr w:type="spellStart"/>
      <w:r w:rsidR="00797C75" w:rsidRPr="00507A53">
        <w:rPr>
          <w:rFonts w:ascii="Times New Roman" w:hAnsi="Times New Roman"/>
        </w:rPr>
        <w:t>acquittés</w:t>
      </w:r>
      <w:proofErr w:type="spellEnd"/>
      <w:r w:rsidRPr="00D85914">
        <w:rPr>
          <w:color w:val="222222"/>
          <w:szCs w:val="22"/>
          <w:lang w:val="fr-FR"/>
        </w:rPr>
        <w:t xml:space="preserve">) </w:t>
      </w:r>
      <w:r w:rsidR="00D85914">
        <w:rPr>
          <w:color w:val="222222"/>
          <w:szCs w:val="22"/>
          <w:lang w:val="fr-FR"/>
        </w:rPr>
        <w:t xml:space="preserve">qui impose au vendeur d'assumer tous les frais et risques liés au dédouanement des </w:t>
      </w:r>
      <w:r w:rsidR="00D85914" w:rsidRPr="00D85914">
        <w:rPr>
          <w:color w:val="222222"/>
          <w:szCs w:val="22"/>
          <w:lang w:val="fr-FR"/>
        </w:rPr>
        <w:t>importations: «la marchandise est livrée à l'acheteur sur le véhicule de transport d'approche, prête à être déchargée</w:t>
      </w:r>
      <w:r w:rsidR="00910E33">
        <w:rPr>
          <w:color w:val="222222"/>
          <w:szCs w:val="22"/>
          <w:lang w:val="fr-FR"/>
        </w:rPr>
        <w:t xml:space="preserve"> au lieu de destination convenu.</w:t>
      </w:r>
      <w:bookmarkStart w:id="7" w:name="_GoBack"/>
      <w:bookmarkEnd w:id="7"/>
      <w:r w:rsidR="00D85914" w:rsidRPr="00D85914">
        <w:rPr>
          <w:color w:val="222222"/>
          <w:szCs w:val="22"/>
          <w:lang w:val="fr-FR"/>
        </w:rPr>
        <w:t xml:space="preserve"> Le vendeur assume tous les frais et risques liés à l'expédition des marchandises jusqu'à ce point», y compris le dédouanement à l'</w:t>
      </w:r>
      <w:r w:rsidR="00D85914">
        <w:rPr>
          <w:color w:val="222222"/>
          <w:szCs w:val="22"/>
          <w:lang w:val="fr-FR"/>
        </w:rPr>
        <w:t>exportation, mais non à l'importation au port ou à la frontière du lieu de destination convenu</w:t>
      </w:r>
      <w:r w:rsidR="00797C75">
        <w:rPr>
          <w:color w:val="222222"/>
          <w:szCs w:val="22"/>
          <w:lang w:val="fr-FR"/>
        </w:rPr>
        <w:t>.</w:t>
      </w:r>
    </w:p>
    <w:p w14:paraId="2C1C6B7E" w14:textId="77777777" w:rsidR="000841C7" w:rsidRPr="00E53345" w:rsidRDefault="000841C7" w:rsidP="000841C7">
      <w:pPr>
        <w:spacing w:before="240" w:after="240"/>
        <w:ind w:left="1134" w:hanging="1134"/>
        <w:jc w:val="both"/>
        <w:rPr>
          <w:rFonts w:cstheme="minorHAnsi"/>
          <w:b/>
          <w:szCs w:val="22"/>
          <w:lang w:val="fr-BE"/>
        </w:rPr>
      </w:pPr>
      <w:bookmarkStart w:id="8" w:name="_Toc124934903"/>
      <w:r w:rsidRPr="00E53345">
        <w:rPr>
          <w:rFonts w:cstheme="minorHAnsi"/>
          <w:b/>
          <w:szCs w:val="22"/>
          <w:lang w:val="fr-BE"/>
        </w:rPr>
        <w:t>Article 13</w:t>
      </w:r>
      <w:r w:rsidRPr="00E53345">
        <w:rPr>
          <w:rFonts w:cstheme="minorHAnsi"/>
          <w:szCs w:val="22"/>
          <w:lang w:val="fr-BE"/>
        </w:rPr>
        <w:tab/>
      </w:r>
      <w:bookmarkEnd w:id="8"/>
      <w:r w:rsidRPr="00E53345">
        <w:rPr>
          <w:rFonts w:cstheme="minorHAnsi"/>
          <w:b/>
          <w:szCs w:val="22"/>
          <w:lang w:val="fr-BE"/>
        </w:rPr>
        <w:t>Programme de mise en œuvre des tâches</w:t>
      </w:r>
    </w:p>
    <w:p w14:paraId="59549D75" w14:textId="77777777" w:rsidR="000841C7" w:rsidRDefault="000841C7" w:rsidP="000841C7">
      <w:pPr>
        <w:jc w:val="both"/>
        <w:rPr>
          <w:rFonts w:cstheme="minorHAnsi"/>
          <w:szCs w:val="22"/>
          <w:lang w:val="fr-BE"/>
        </w:rPr>
      </w:pPr>
      <w:r w:rsidRPr="00E53345">
        <w:rPr>
          <w:rFonts w:cstheme="minorHAnsi"/>
          <w:szCs w:val="22"/>
          <w:lang w:val="fr-BE"/>
        </w:rPr>
        <w:t>13.2</w:t>
      </w:r>
      <w:r w:rsidRPr="00E53345">
        <w:rPr>
          <w:rFonts w:cstheme="minorHAnsi"/>
          <w:szCs w:val="22"/>
          <w:lang w:val="fr-BE"/>
        </w:rPr>
        <w:tab/>
        <w:t>Aucune exigence spécifique n’est requise.</w:t>
      </w:r>
    </w:p>
    <w:p w14:paraId="6BBCADC0" w14:textId="77777777" w:rsidR="00D85914" w:rsidRDefault="00D85914" w:rsidP="000841C7">
      <w:pPr>
        <w:jc w:val="both"/>
        <w:rPr>
          <w:rFonts w:cstheme="minorHAnsi"/>
          <w:szCs w:val="22"/>
          <w:lang w:val="fr-BE"/>
        </w:rPr>
      </w:pPr>
    </w:p>
    <w:p w14:paraId="4E19237B" w14:textId="77777777" w:rsidR="00D85914" w:rsidRDefault="00D85914" w:rsidP="000841C7">
      <w:pPr>
        <w:jc w:val="both"/>
        <w:rPr>
          <w:rFonts w:cstheme="minorHAnsi"/>
          <w:szCs w:val="22"/>
          <w:lang w:val="fr-BE"/>
        </w:rPr>
      </w:pPr>
    </w:p>
    <w:p w14:paraId="35730EF5" w14:textId="77777777" w:rsidR="00D85914" w:rsidRPr="00E53345" w:rsidRDefault="00D85914" w:rsidP="000841C7">
      <w:pPr>
        <w:jc w:val="both"/>
        <w:rPr>
          <w:rFonts w:cstheme="minorHAnsi"/>
          <w:szCs w:val="22"/>
          <w:lang w:val="fr-BE"/>
        </w:rPr>
      </w:pPr>
    </w:p>
    <w:p w14:paraId="1E2985CC" w14:textId="77777777" w:rsidR="000841C7" w:rsidRPr="00E53345" w:rsidRDefault="000841C7" w:rsidP="000841C7">
      <w:pPr>
        <w:spacing w:before="240" w:after="240"/>
        <w:ind w:left="1134" w:hanging="1134"/>
        <w:jc w:val="both"/>
        <w:rPr>
          <w:rFonts w:cstheme="minorHAnsi"/>
          <w:b/>
          <w:szCs w:val="22"/>
          <w:lang w:val="fr-BE"/>
        </w:rPr>
      </w:pPr>
      <w:bookmarkStart w:id="9" w:name="_Toc124934904"/>
      <w:r w:rsidRPr="00E53345">
        <w:rPr>
          <w:rFonts w:cstheme="minorHAnsi"/>
          <w:b/>
          <w:szCs w:val="22"/>
          <w:lang w:val="fr-BE"/>
        </w:rPr>
        <w:lastRenderedPageBreak/>
        <w:t>Article 14</w:t>
      </w:r>
      <w:r w:rsidRPr="00E53345">
        <w:rPr>
          <w:rFonts w:cstheme="minorHAnsi"/>
          <w:szCs w:val="22"/>
          <w:lang w:val="fr-BE"/>
        </w:rPr>
        <w:tab/>
      </w:r>
      <w:r w:rsidRPr="00E53345">
        <w:rPr>
          <w:rFonts w:cstheme="minorHAnsi"/>
          <w:b/>
          <w:szCs w:val="22"/>
          <w:lang w:val="fr-BE"/>
        </w:rPr>
        <w:t>Plans du contractant</w:t>
      </w:r>
      <w:bookmarkEnd w:id="9"/>
    </w:p>
    <w:p w14:paraId="39FE92FD" w14:textId="77777777" w:rsidR="000841C7" w:rsidRPr="00E53345" w:rsidRDefault="000841C7" w:rsidP="000841C7">
      <w:pPr>
        <w:autoSpaceDE w:val="0"/>
        <w:autoSpaceDN w:val="0"/>
        <w:adjustRightInd w:val="0"/>
        <w:rPr>
          <w:rFonts w:cstheme="minorHAnsi"/>
          <w:szCs w:val="22"/>
          <w:lang w:val="fr-BE"/>
        </w:rPr>
      </w:pPr>
      <w:r w:rsidRPr="00E53345">
        <w:rPr>
          <w:rFonts w:cstheme="minorHAnsi"/>
          <w:szCs w:val="22"/>
          <w:lang w:val="fr-BE"/>
        </w:rPr>
        <w:t xml:space="preserve">14.1 </w:t>
      </w:r>
      <w:r w:rsidRPr="00E53345">
        <w:rPr>
          <w:rFonts w:cstheme="minorHAnsi"/>
          <w:szCs w:val="22"/>
          <w:lang w:val="fr-BE"/>
        </w:rPr>
        <w:tab/>
        <w:t>Toute la documentation relative à l’offre (manuels, prospectus, schéma, etc.) doit être jointe au dossier.</w:t>
      </w:r>
    </w:p>
    <w:p w14:paraId="7659D05E" w14:textId="77777777" w:rsidR="000841C7" w:rsidRPr="00E53345" w:rsidRDefault="000841C7" w:rsidP="000841C7">
      <w:pPr>
        <w:spacing w:before="240" w:after="240"/>
        <w:ind w:left="1134" w:hanging="1134"/>
        <w:jc w:val="both"/>
        <w:rPr>
          <w:rFonts w:cstheme="minorHAnsi"/>
          <w:b/>
          <w:szCs w:val="22"/>
          <w:lang w:val="fr-BE"/>
        </w:rPr>
      </w:pPr>
      <w:bookmarkStart w:id="10" w:name="_Toc124934905"/>
      <w:r w:rsidRPr="00E53345">
        <w:rPr>
          <w:rFonts w:cstheme="minorHAnsi"/>
          <w:b/>
          <w:szCs w:val="22"/>
          <w:lang w:val="fr-BE"/>
        </w:rPr>
        <w:t>Article 15</w:t>
      </w:r>
      <w:r w:rsidRPr="00E53345">
        <w:rPr>
          <w:rFonts w:cstheme="minorHAnsi"/>
          <w:szCs w:val="22"/>
          <w:lang w:val="fr-BE"/>
        </w:rPr>
        <w:tab/>
      </w:r>
      <w:r w:rsidRPr="00E53345">
        <w:rPr>
          <w:rFonts w:cstheme="minorHAnsi"/>
          <w:b/>
          <w:szCs w:val="22"/>
          <w:lang w:val="fr-BE"/>
        </w:rPr>
        <w:t>Montant des offres</w:t>
      </w:r>
      <w:bookmarkEnd w:id="10"/>
      <w:r w:rsidRPr="00E53345">
        <w:rPr>
          <w:rFonts w:cstheme="minorHAnsi"/>
          <w:szCs w:val="22"/>
          <w:lang w:val="fr-BE"/>
        </w:rPr>
        <w:tab/>
      </w:r>
    </w:p>
    <w:p w14:paraId="6E9BABE5" w14:textId="77777777" w:rsidR="000841C7" w:rsidRPr="00E53345" w:rsidRDefault="000841C7" w:rsidP="000841C7">
      <w:pPr>
        <w:jc w:val="both"/>
        <w:rPr>
          <w:rFonts w:cstheme="minorHAnsi"/>
          <w:szCs w:val="22"/>
          <w:lang w:val="fr-BE"/>
        </w:rPr>
      </w:pPr>
      <w:r w:rsidRPr="00E53345">
        <w:rPr>
          <w:rFonts w:cstheme="minorHAnsi"/>
          <w:szCs w:val="22"/>
          <w:lang w:val="fr-BE"/>
        </w:rPr>
        <w:t>15.1</w:t>
      </w:r>
      <w:r w:rsidRPr="00E53345">
        <w:rPr>
          <w:rFonts w:cstheme="minorHAnsi"/>
          <w:szCs w:val="22"/>
          <w:lang w:val="fr-BE"/>
        </w:rPr>
        <w:tab/>
        <w:t>Aucune dérogation à</w:t>
      </w:r>
      <w:r w:rsidRPr="00E53345">
        <w:rPr>
          <w:rFonts w:cstheme="minorHAnsi"/>
          <w:b/>
          <w:szCs w:val="22"/>
          <w:lang w:val="fr-BE"/>
        </w:rPr>
        <w:t xml:space="preserve"> </w:t>
      </w:r>
      <w:r w:rsidRPr="00E53345">
        <w:rPr>
          <w:rFonts w:cstheme="minorHAnsi"/>
          <w:szCs w:val="22"/>
          <w:lang w:val="fr-BE"/>
        </w:rPr>
        <w:t>l’article 15 des conditions générales n’est prévue.</w:t>
      </w:r>
    </w:p>
    <w:p w14:paraId="651E52DF" w14:textId="77777777" w:rsidR="000841C7" w:rsidRPr="00E53345" w:rsidRDefault="000841C7" w:rsidP="000841C7">
      <w:pPr>
        <w:spacing w:before="240" w:after="240"/>
        <w:ind w:left="1134" w:hanging="1134"/>
        <w:jc w:val="both"/>
        <w:rPr>
          <w:rFonts w:cstheme="minorHAnsi"/>
          <w:b/>
          <w:szCs w:val="22"/>
          <w:lang w:val="fr-BE"/>
        </w:rPr>
      </w:pPr>
      <w:r w:rsidRPr="00E53345">
        <w:rPr>
          <w:rFonts w:cstheme="minorHAnsi"/>
          <w:b/>
          <w:szCs w:val="22"/>
          <w:lang w:val="fr-BE"/>
        </w:rPr>
        <w:t>Article 16</w:t>
      </w:r>
      <w:r w:rsidRPr="00E53345">
        <w:rPr>
          <w:rFonts w:cstheme="minorHAnsi"/>
          <w:szCs w:val="22"/>
          <w:lang w:val="fr-BE"/>
        </w:rPr>
        <w:tab/>
      </w:r>
      <w:r w:rsidRPr="00E53345">
        <w:rPr>
          <w:rFonts w:cstheme="minorHAnsi"/>
          <w:b/>
          <w:szCs w:val="22"/>
          <w:lang w:val="fr-BE"/>
        </w:rPr>
        <w:t>Régime fiscal et douanier</w:t>
      </w:r>
    </w:p>
    <w:p w14:paraId="575E1764" w14:textId="790F00EC" w:rsidR="000841C7" w:rsidRPr="00E53345" w:rsidRDefault="000841C7" w:rsidP="000841C7">
      <w:pPr>
        <w:jc w:val="both"/>
        <w:rPr>
          <w:rFonts w:cstheme="minorHAnsi"/>
          <w:szCs w:val="22"/>
          <w:lang w:val="fr-BE"/>
        </w:rPr>
      </w:pPr>
      <w:r w:rsidRPr="00E53345">
        <w:rPr>
          <w:rFonts w:cstheme="minorHAnsi"/>
          <w:szCs w:val="22"/>
          <w:lang w:val="fr-BE"/>
        </w:rPr>
        <w:t>Les conditions de livraison sont «</w:t>
      </w:r>
      <w:r w:rsidR="00E566EB" w:rsidRPr="00E53345">
        <w:rPr>
          <w:rFonts w:cstheme="minorHAnsi"/>
          <w:szCs w:val="22"/>
          <w:lang w:val="fr-BE"/>
        </w:rPr>
        <w:t>D</w:t>
      </w:r>
      <w:r w:rsidR="00797C75">
        <w:rPr>
          <w:rFonts w:cstheme="minorHAnsi"/>
          <w:szCs w:val="22"/>
          <w:lang w:val="fr-BE"/>
        </w:rPr>
        <w:t>D</w:t>
      </w:r>
      <w:r w:rsidR="00E566EB" w:rsidRPr="00E53345">
        <w:rPr>
          <w:rFonts w:cstheme="minorHAnsi"/>
          <w:szCs w:val="22"/>
          <w:lang w:val="fr-BE"/>
        </w:rPr>
        <w:t>P</w:t>
      </w:r>
      <w:r w:rsidRPr="00E53345">
        <w:rPr>
          <w:rFonts w:cstheme="minorHAnsi"/>
          <w:szCs w:val="22"/>
          <w:lang w:val="fr-BE"/>
        </w:rPr>
        <w:t>».</w:t>
      </w:r>
    </w:p>
    <w:p w14:paraId="4FB44420" w14:textId="77777777" w:rsidR="000841C7" w:rsidRPr="00E53345" w:rsidRDefault="000841C7" w:rsidP="000841C7">
      <w:pPr>
        <w:spacing w:before="240"/>
        <w:ind w:left="1134" w:hanging="1134"/>
        <w:jc w:val="both"/>
        <w:rPr>
          <w:rFonts w:cstheme="minorHAnsi"/>
          <w:b/>
          <w:szCs w:val="22"/>
          <w:lang w:val="fr-BE"/>
        </w:rPr>
      </w:pPr>
      <w:bookmarkStart w:id="11" w:name="_Toc124934906"/>
      <w:r w:rsidRPr="00E53345">
        <w:rPr>
          <w:rFonts w:cstheme="minorHAnsi"/>
          <w:b/>
          <w:szCs w:val="22"/>
          <w:lang w:val="fr-BE"/>
        </w:rPr>
        <w:t>Article 17</w:t>
      </w:r>
      <w:r w:rsidRPr="00E53345">
        <w:rPr>
          <w:rFonts w:cstheme="minorHAnsi"/>
          <w:szCs w:val="22"/>
          <w:lang w:val="fr-BE"/>
        </w:rPr>
        <w:tab/>
      </w:r>
      <w:r w:rsidRPr="00E53345">
        <w:rPr>
          <w:rFonts w:cstheme="minorHAnsi"/>
          <w:b/>
          <w:szCs w:val="22"/>
          <w:lang w:val="fr-BE"/>
        </w:rPr>
        <w:t>Brevet et licences</w:t>
      </w:r>
      <w:bookmarkEnd w:id="11"/>
    </w:p>
    <w:p w14:paraId="51A64F93" w14:textId="77777777" w:rsidR="000841C7" w:rsidRPr="00E53345" w:rsidRDefault="000841C7" w:rsidP="000841C7">
      <w:pPr>
        <w:spacing w:before="240"/>
        <w:ind w:left="1134" w:hanging="1134"/>
        <w:jc w:val="both"/>
        <w:rPr>
          <w:rFonts w:cstheme="minorHAnsi"/>
          <w:szCs w:val="22"/>
          <w:lang w:val="fr-BE"/>
        </w:rPr>
      </w:pPr>
      <w:r w:rsidRPr="00E53345">
        <w:rPr>
          <w:rFonts w:cstheme="minorHAnsi"/>
          <w:szCs w:val="22"/>
          <w:lang w:val="fr-BE"/>
        </w:rPr>
        <w:t>Aucune dérogation à</w:t>
      </w:r>
      <w:r w:rsidRPr="00E53345">
        <w:rPr>
          <w:rFonts w:cstheme="minorHAnsi"/>
          <w:b/>
          <w:szCs w:val="22"/>
          <w:lang w:val="fr-BE"/>
        </w:rPr>
        <w:t xml:space="preserve"> </w:t>
      </w:r>
      <w:r w:rsidRPr="00E53345">
        <w:rPr>
          <w:rFonts w:cstheme="minorHAnsi"/>
          <w:szCs w:val="22"/>
          <w:lang w:val="fr-BE"/>
        </w:rPr>
        <w:t>l’article 17 des conditions générales n’est prévue.</w:t>
      </w:r>
    </w:p>
    <w:p w14:paraId="74478CF8" w14:textId="77777777" w:rsidR="000841C7" w:rsidRPr="00E53345" w:rsidRDefault="000841C7" w:rsidP="000841C7">
      <w:pPr>
        <w:spacing w:before="240" w:after="240"/>
        <w:ind w:left="1134" w:hanging="1134"/>
        <w:jc w:val="both"/>
        <w:rPr>
          <w:rFonts w:cstheme="minorHAnsi"/>
          <w:b/>
          <w:szCs w:val="22"/>
          <w:lang w:val="fr-BE"/>
        </w:rPr>
      </w:pPr>
      <w:bookmarkStart w:id="12" w:name="_Toc124934907"/>
      <w:r w:rsidRPr="00E53345">
        <w:rPr>
          <w:rFonts w:cstheme="minorHAnsi"/>
          <w:b/>
          <w:szCs w:val="22"/>
          <w:lang w:val="fr-BE"/>
        </w:rPr>
        <w:t>Article 18</w:t>
      </w:r>
      <w:r w:rsidRPr="00E53345">
        <w:rPr>
          <w:rFonts w:cstheme="minorHAnsi"/>
          <w:szCs w:val="22"/>
          <w:lang w:val="fr-BE"/>
        </w:rPr>
        <w:tab/>
      </w:r>
      <w:r w:rsidRPr="00E53345">
        <w:rPr>
          <w:rFonts w:cstheme="minorHAnsi"/>
          <w:b/>
          <w:szCs w:val="22"/>
          <w:lang w:val="fr-BE"/>
        </w:rPr>
        <w:t>Ordre de commencer la mise en œuvre des tâches</w:t>
      </w:r>
      <w:bookmarkEnd w:id="12"/>
    </w:p>
    <w:p w14:paraId="77F80CBD" w14:textId="77777777" w:rsidR="000841C7" w:rsidRPr="00E53345" w:rsidRDefault="000841C7" w:rsidP="000841C7">
      <w:pPr>
        <w:jc w:val="both"/>
        <w:rPr>
          <w:rFonts w:cstheme="minorHAnsi"/>
          <w:szCs w:val="22"/>
          <w:lang w:val="fr-BE"/>
        </w:rPr>
      </w:pPr>
      <w:r w:rsidRPr="00E53345">
        <w:rPr>
          <w:rFonts w:cstheme="minorHAnsi"/>
          <w:szCs w:val="22"/>
          <w:lang w:val="fr-BE"/>
        </w:rPr>
        <w:t>18.1</w:t>
      </w:r>
      <w:r w:rsidRPr="00E53345">
        <w:rPr>
          <w:rFonts w:cstheme="minorHAnsi"/>
          <w:szCs w:val="22"/>
          <w:lang w:val="fr-BE"/>
        </w:rPr>
        <w:tab/>
        <w:t>Le pouvoir adjudicateur informera le contractant par ordre administratif de la date de mise en œuvre des tâches.</w:t>
      </w:r>
    </w:p>
    <w:p w14:paraId="020D983D" w14:textId="77777777" w:rsidR="000841C7" w:rsidRPr="00E53345" w:rsidRDefault="000841C7" w:rsidP="000841C7">
      <w:pPr>
        <w:spacing w:before="240" w:after="240"/>
        <w:ind w:left="1134" w:hanging="1134"/>
        <w:jc w:val="both"/>
        <w:rPr>
          <w:rFonts w:cstheme="minorHAnsi"/>
          <w:b/>
          <w:szCs w:val="22"/>
          <w:lang w:val="fr-BE"/>
        </w:rPr>
      </w:pPr>
      <w:bookmarkStart w:id="13" w:name="_Toc124934908"/>
      <w:r w:rsidRPr="00E53345">
        <w:rPr>
          <w:rFonts w:cstheme="minorHAnsi"/>
          <w:b/>
          <w:szCs w:val="22"/>
          <w:lang w:val="fr-BE"/>
        </w:rPr>
        <w:t>Article 19</w:t>
      </w:r>
      <w:r w:rsidRPr="00E53345">
        <w:rPr>
          <w:rFonts w:cstheme="minorHAnsi"/>
          <w:szCs w:val="22"/>
          <w:lang w:val="fr-BE"/>
        </w:rPr>
        <w:tab/>
      </w:r>
      <w:r w:rsidRPr="00E53345">
        <w:rPr>
          <w:rFonts w:cstheme="minorHAnsi"/>
          <w:b/>
          <w:szCs w:val="22"/>
          <w:lang w:val="fr-BE"/>
        </w:rPr>
        <w:t>Période de mise en œuvre</w:t>
      </w:r>
      <w:bookmarkEnd w:id="13"/>
      <w:r w:rsidRPr="00E53345">
        <w:rPr>
          <w:rFonts w:cstheme="minorHAnsi"/>
          <w:b/>
          <w:szCs w:val="22"/>
          <w:lang w:val="fr-BE"/>
        </w:rPr>
        <w:t xml:space="preserve"> des tâches</w:t>
      </w:r>
    </w:p>
    <w:p w14:paraId="5E960D16" w14:textId="77777777" w:rsidR="000841C7" w:rsidRPr="00E53345" w:rsidRDefault="000841C7" w:rsidP="000841C7">
      <w:pPr>
        <w:jc w:val="both"/>
        <w:rPr>
          <w:rFonts w:cstheme="minorHAnsi"/>
          <w:szCs w:val="22"/>
          <w:lang w:val="fr-BE"/>
        </w:rPr>
      </w:pPr>
      <w:r w:rsidRPr="00E53345">
        <w:rPr>
          <w:rFonts w:cstheme="minorHAnsi"/>
          <w:szCs w:val="22"/>
          <w:lang w:val="fr-BE"/>
        </w:rPr>
        <w:t>19.1</w:t>
      </w:r>
      <w:r w:rsidRPr="00E53345">
        <w:rPr>
          <w:rFonts w:cstheme="minorHAnsi"/>
          <w:szCs w:val="22"/>
          <w:lang w:val="fr-BE"/>
        </w:rPr>
        <w:tab/>
        <w:t>Le délai d’exécution est de soixante 60 jours à compter de la date mentionnée à l’article 18.1</w:t>
      </w:r>
    </w:p>
    <w:p w14:paraId="3D80F649" w14:textId="77777777" w:rsidR="000841C7" w:rsidRPr="00E53345" w:rsidRDefault="000841C7" w:rsidP="000841C7">
      <w:pPr>
        <w:spacing w:before="240"/>
        <w:ind w:left="1134" w:hanging="1134"/>
        <w:jc w:val="both"/>
        <w:rPr>
          <w:rFonts w:cstheme="minorHAnsi"/>
          <w:b/>
          <w:szCs w:val="22"/>
          <w:lang w:val="fr-BE"/>
        </w:rPr>
      </w:pPr>
      <w:bookmarkStart w:id="14" w:name="_Toc124934910"/>
      <w:r w:rsidRPr="00E53345">
        <w:rPr>
          <w:rFonts w:cstheme="minorHAnsi"/>
          <w:b/>
          <w:szCs w:val="22"/>
          <w:lang w:val="fr-BE"/>
        </w:rPr>
        <w:t>Article 24</w:t>
      </w:r>
      <w:r w:rsidRPr="00E53345">
        <w:rPr>
          <w:rFonts w:cstheme="minorHAnsi"/>
          <w:szCs w:val="22"/>
          <w:lang w:val="fr-BE"/>
        </w:rPr>
        <w:tab/>
      </w:r>
      <w:r w:rsidRPr="00E53345">
        <w:rPr>
          <w:rFonts w:cstheme="minorHAnsi"/>
          <w:b/>
          <w:szCs w:val="22"/>
          <w:lang w:val="fr-BE"/>
        </w:rPr>
        <w:t>Qualité des fournitures</w:t>
      </w:r>
      <w:bookmarkEnd w:id="14"/>
    </w:p>
    <w:p w14:paraId="17753194" w14:textId="77777777" w:rsidR="000841C7" w:rsidRPr="00E53345" w:rsidRDefault="000841C7" w:rsidP="000841C7">
      <w:pPr>
        <w:spacing w:before="240"/>
        <w:jc w:val="both"/>
        <w:rPr>
          <w:rFonts w:cstheme="minorHAnsi"/>
          <w:szCs w:val="22"/>
          <w:lang w:val="fr-BE"/>
        </w:rPr>
      </w:pPr>
      <w:bookmarkStart w:id="15" w:name="_Toc124934911"/>
      <w:r w:rsidRPr="00E53345">
        <w:rPr>
          <w:rFonts w:cstheme="minorHAnsi"/>
          <w:szCs w:val="22"/>
          <w:lang w:val="fr-BE"/>
        </w:rPr>
        <w:t>La qualité de fournitures sera vérifiée conformément aux dispositions de l’article 24 des conditions générales.</w:t>
      </w:r>
    </w:p>
    <w:p w14:paraId="05FBB331" w14:textId="77777777" w:rsidR="000841C7" w:rsidRPr="00E53345" w:rsidRDefault="000841C7" w:rsidP="000841C7">
      <w:pPr>
        <w:spacing w:before="240"/>
        <w:jc w:val="both"/>
        <w:rPr>
          <w:rFonts w:cstheme="minorHAnsi"/>
          <w:szCs w:val="22"/>
          <w:lang w:val="fr-BE"/>
        </w:rPr>
      </w:pPr>
      <w:r w:rsidRPr="00E53345">
        <w:rPr>
          <w:rFonts w:cstheme="minorHAnsi"/>
          <w:szCs w:val="22"/>
          <w:lang w:val="fr-BE"/>
        </w:rPr>
        <w:t>Dès la notification de l’avis d’arrivée, CAPAD et ADISCO, accompagnée</w:t>
      </w:r>
      <w:r w:rsidR="00BF5BBA" w:rsidRPr="00E53345">
        <w:rPr>
          <w:rFonts w:cstheme="minorHAnsi"/>
          <w:szCs w:val="22"/>
          <w:lang w:val="fr-BE"/>
        </w:rPr>
        <w:t>s</w:t>
      </w:r>
      <w:r w:rsidRPr="00E53345">
        <w:rPr>
          <w:rFonts w:cstheme="minorHAnsi"/>
          <w:szCs w:val="22"/>
          <w:lang w:val="fr-BE"/>
        </w:rPr>
        <w:t xml:space="preserve"> du contractant ou de son représentant et des membres de la commission de réception, devront procéder à la réception des fournitures livrées dans un délai ne dépassant pas cinq (5) jours ouvrables. </w:t>
      </w:r>
    </w:p>
    <w:p w14:paraId="241609A9" w14:textId="77777777" w:rsidR="000841C7" w:rsidRPr="00E53345" w:rsidRDefault="000841C7" w:rsidP="000841C7">
      <w:pPr>
        <w:spacing w:before="240"/>
        <w:jc w:val="both"/>
        <w:rPr>
          <w:rFonts w:cstheme="minorHAnsi"/>
          <w:szCs w:val="22"/>
          <w:lang w:val="fr-BE"/>
        </w:rPr>
      </w:pPr>
      <w:r w:rsidRPr="00E53345">
        <w:rPr>
          <w:rFonts w:cstheme="minorHAnsi"/>
          <w:szCs w:val="22"/>
          <w:lang w:val="fr-BE"/>
        </w:rPr>
        <w:t>En cas de non-conformité des équipements, CAPAD et ADISCO se réserve</w:t>
      </w:r>
      <w:r w:rsidR="00BF5BBA" w:rsidRPr="00E53345">
        <w:rPr>
          <w:rFonts w:cstheme="minorHAnsi"/>
          <w:szCs w:val="22"/>
          <w:lang w:val="fr-BE"/>
        </w:rPr>
        <w:t>nt</w:t>
      </w:r>
      <w:r w:rsidRPr="00E53345">
        <w:rPr>
          <w:rFonts w:cstheme="minorHAnsi"/>
          <w:szCs w:val="22"/>
          <w:lang w:val="fr-BE"/>
        </w:rPr>
        <w:t xml:space="preserve"> le droit de déclarer les fournitures livrées irrecevables. Dans cette hypothèse, les frais d’entreposage jusqu’à la reprise seront à charge du contractant. Un représentant de la Direction Nationale de Contrôle des Marchés Publics y assistera en qualité d’observateur.</w:t>
      </w:r>
    </w:p>
    <w:p w14:paraId="7C7D6E55" w14:textId="77777777" w:rsidR="000841C7" w:rsidRPr="00E53345" w:rsidRDefault="000841C7" w:rsidP="000841C7">
      <w:pPr>
        <w:spacing w:before="240" w:after="240"/>
        <w:jc w:val="both"/>
        <w:rPr>
          <w:rFonts w:cstheme="minorHAnsi"/>
          <w:b/>
          <w:szCs w:val="22"/>
          <w:lang w:val="fr-BE"/>
        </w:rPr>
      </w:pPr>
      <w:r w:rsidRPr="00E53345">
        <w:rPr>
          <w:rFonts w:cstheme="minorHAnsi"/>
          <w:b/>
          <w:szCs w:val="22"/>
          <w:lang w:val="fr-BE"/>
        </w:rPr>
        <w:t>Article 25</w:t>
      </w:r>
      <w:r w:rsidRPr="00E53345">
        <w:rPr>
          <w:rFonts w:cstheme="minorHAnsi"/>
          <w:szCs w:val="22"/>
          <w:lang w:val="fr-BE"/>
        </w:rPr>
        <w:tab/>
      </w:r>
      <w:r w:rsidRPr="00E53345">
        <w:rPr>
          <w:rFonts w:cstheme="minorHAnsi"/>
          <w:b/>
          <w:szCs w:val="22"/>
          <w:lang w:val="fr-BE"/>
        </w:rPr>
        <w:t>Inspection et test</w:t>
      </w:r>
      <w:bookmarkEnd w:id="15"/>
    </w:p>
    <w:p w14:paraId="72FEC031" w14:textId="77777777" w:rsidR="000841C7" w:rsidRPr="00E53345" w:rsidRDefault="000841C7" w:rsidP="000841C7">
      <w:pPr>
        <w:autoSpaceDE w:val="0"/>
        <w:autoSpaceDN w:val="0"/>
        <w:adjustRightInd w:val="0"/>
        <w:rPr>
          <w:rFonts w:cstheme="minorHAnsi"/>
          <w:szCs w:val="22"/>
          <w:lang w:val="fr-BE"/>
        </w:rPr>
      </w:pPr>
      <w:r w:rsidRPr="00E53345">
        <w:rPr>
          <w:rFonts w:cstheme="minorHAnsi"/>
          <w:szCs w:val="22"/>
          <w:lang w:val="fr-BE"/>
        </w:rPr>
        <w:t>Tous les éléments du marché feront l’objet d’une inspection conformément aux dispositions de l’article 25 des conditions générales.</w:t>
      </w:r>
    </w:p>
    <w:p w14:paraId="322007D2" w14:textId="77777777" w:rsidR="000841C7" w:rsidRPr="00E53345" w:rsidRDefault="000841C7" w:rsidP="000841C7">
      <w:pPr>
        <w:spacing w:before="240" w:after="240"/>
        <w:ind w:left="1134" w:hanging="1134"/>
        <w:jc w:val="both"/>
        <w:rPr>
          <w:rFonts w:cstheme="minorHAnsi"/>
          <w:b/>
          <w:szCs w:val="22"/>
          <w:lang w:val="fr-BE"/>
        </w:rPr>
      </w:pPr>
      <w:bookmarkStart w:id="16" w:name="_Toc124934912"/>
      <w:r w:rsidRPr="00E53345">
        <w:rPr>
          <w:rFonts w:cstheme="minorHAnsi"/>
          <w:b/>
          <w:szCs w:val="22"/>
          <w:lang w:val="fr-BE"/>
        </w:rPr>
        <w:t>Article 26</w:t>
      </w:r>
      <w:r w:rsidRPr="00E53345">
        <w:rPr>
          <w:rFonts w:cstheme="minorHAnsi"/>
          <w:szCs w:val="22"/>
          <w:lang w:val="fr-BE"/>
        </w:rPr>
        <w:tab/>
      </w:r>
      <w:bookmarkEnd w:id="16"/>
      <w:r w:rsidRPr="00E53345">
        <w:rPr>
          <w:rFonts w:cstheme="minorHAnsi"/>
          <w:b/>
          <w:szCs w:val="22"/>
          <w:lang w:val="fr-BE"/>
        </w:rPr>
        <w:t>Principes généraux paiements</w:t>
      </w:r>
    </w:p>
    <w:p w14:paraId="11D8CC0C" w14:textId="77777777" w:rsidR="000841C7" w:rsidRPr="00E53345" w:rsidRDefault="000841C7" w:rsidP="000841C7">
      <w:pPr>
        <w:tabs>
          <w:tab w:val="left" w:pos="0"/>
          <w:tab w:val="right" w:pos="8789"/>
        </w:tabs>
        <w:jc w:val="both"/>
        <w:rPr>
          <w:rFonts w:cstheme="minorHAnsi"/>
          <w:szCs w:val="22"/>
          <w:lang w:val="fr-BE"/>
        </w:rPr>
      </w:pPr>
      <w:r w:rsidRPr="00E53345">
        <w:rPr>
          <w:rFonts w:cstheme="minorHAnsi"/>
          <w:szCs w:val="22"/>
          <w:lang w:val="fr-BE"/>
        </w:rPr>
        <w:t xml:space="preserve">26.1 Les paiements sont effectués en euros et seulement si les composants et matériaux ont subi avec succès les tests mentionnés aux articles 24 et 25 et que ce résultat a été notifié au contractant. </w:t>
      </w:r>
    </w:p>
    <w:p w14:paraId="4518AA25" w14:textId="77777777" w:rsidR="000841C7" w:rsidRPr="00E53345" w:rsidRDefault="000841C7" w:rsidP="000841C7">
      <w:pPr>
        <w:tabs>
          <w:tab w:val="left" w:pos="0"/>
          <w:tab w:val="right" w:pos="8789"/>
        </w:tabs>
        <w:jc w:val="both"/>
        <w:rPr>
          <w:rFonts w:cstheme="minorHAnsi"/>
          <w:szCs w:val="22"/>
          <w:lang w:val="fr-BE"/>
        </w:rPr>
      </w:pPr>
    </w:p>
    <w:p w14:paraId="5E4439B6" w14:textId="77777777" w:rsidR="000841C7" w:rsidRPr="00E53345" w:rsidRDefault="000841C7" w:rsidP="000841C7">
      <w:pPr>
        <w:tabs>
          <w:tab w:val="left" w:pos="0"/>
          <w:tab w:val="right" w:pos="8789"/>
        </w:tabs>
        <w:jc w:val="both"/>
        <w:rPr>
          <w:rFonts w:cstheme="minorHAnsi"/>
          <w:szCs w:val="22"/>
          <w:lang w:val="fr-BE"/>
        </w:rPr>
      </w:pPr>
      <w:r w:rsidRPr="00E53345">
        <w:rPr>
          <w:rFonts w:cstheme="minorHAnsi"/>
          <w:szCs w:val="22"/>
          <w:lang w:val="fr-BE"/>
        </w:rPr>
        <w:t xml:space="preserve">Les paiements sont autorisés par CAPAD et ADISCO et effectués par CSA et </w:t>
      </w:r>
      <w:proofErr w:type="spellStart"/>
      <w:r w:rsidRPr="00E53345">
        <w:rPr>
          <w:rFonts w:cstheme="minorHAnsi"/>
          <w:szCs w:val="22"/>
          <w:lang w:val="fr-BE"/>
        </w:rPr>
        <w:t>Broederlijk</w:t>
      </w:r>
      <w:proofErr w:type="spellEnd"/>
      <w:r w:rsidRPr="00E53345">
        <w:rPr>
          <w:rFonts w:cstheme="minorHAnsi"/>
          <w:szCs w:val="22"/>
          <w:lang w:val="fr-BE"/>
        </w:rPr>
        <w:t xml:space="preserve"> </w:t>
      </w:r>
      <w:proofErr w:type="spellStart"/>
      <w:r w:rsidRPr="00E53345">
        <w:rPr>
          <w:rFonts w:cstheme="minorHAnsi"/>
          <w:szCs w:val="22"/>
          <w:lang w:val="fr-BE"/>
        </w:rPr>
        <w:t>Delen</w:t>
      </w:r>
      <w:proofErr w:type="spellEnd"/>
      <w:r w:rsidRPr="00E53345">
        <w:rPr>
          <w:rFonts w:cstheme="minorHAnsi"/>
          <w:szCs w:val="22"/>
          <w:lang w:val="fr-BE"/>
        </w:rPr>
        <w:t>.</w:t>
      </w:r>
    </w:p>
    <w:p w14:paraId="7A66E703" w14:textId="77777777" w:rsidR="000841C7" w:rsidRPr="00E53345" w:rsidRDefault="000841C7" w:rsidP="000841C7">
      <w:pPr>
        <w:tabs>
          <w:tab w:val="left" w:pos="0"/>
          <w:tab w:val="right" w:pos="8789"/>
        </w:tabs>
        <w:jc w:val="both"/>
        <w:rPr>
          <w:rFonts w:cstheme="minorHAnsi"/>
          <w:szCs w:val="22"/>
          <w:lang w:val="fr-BE"/>
        </w:rPr>
      </w:pPr>
    </w:p>
    <w:p w14:paraId="58B94D82" w14:textId="77777777" w:rsidR="000841C7" w:rsidRPr="00E53345" w:rsidRDefault="000841C7" w:rsidP="000841C7">
      <w:pPr>
        <w:tabs>
          <w:tab w:val="left" w:pos="0"/>
          <w:tab w:val="right" w:pos="8789"/>
        </w:tabs>
        <w:jc w:val="both"/>
        <w:rPr>
          <w:rFonts w:cstheme="minorHAnsi"/>
          <w:szCs w:val="22"/>
          <w:lang w:val="fr-BE"/>
        </w:rPr>
      </w:pPr>
      <w:r w:rsidRPr="00E53345">
        <w:rPr>
          <w:rFonts w:cstheme="minorHAnsi"/>
          <w:lang w:val="fr-BE"/>
        </w:rPr>
        <w:lastRenderedPageBreak/>
        <w:t>26.3 Le paiement final au contractant des montants dus est effectué dans les 90 jours suivant l’acceptation provisoire des biens, après réception par le pouvoir adjudicateur d’une facture recevable</w:t>
      </w:r>
      <w:r w:rsidRPr="00E53345">
        <w:rPr>
          <w:rFonts w:cstheme="minorHAnsi"/>
          <w:szCs w:val="22"/>
          <w:lang w:val="fr-BE"/>
        </w:rPr>
        <w:t xml:space="preserve"> </w:t>
      </w:r>
    </w:p>
    <w:p w14:paraId="57DF51F6" w14:textId="77777777" w:rsidR="000841C7" w:rsidRPr="00E53345" w:rsidRDefault="000841C7" w:rsidP="000841C7">
      <w:pPr>
        <w:spacing w:before="240"/>
        <w:jc w:val="both"/>
        <w:rPr>
          <w:rFonts w:cstheme="minorHAnsi"/>
          <w:szCs w:val="22"/>
          <w:lang w:val="fr-BE"/>
        </w:rPr>
      </w:pPr>
      <w:r w:rsidRPr="00E53345">
        <w:rPr>
          <w:rFonts w:cstheme="minorHAnsi"/>
          <w:szCs w:val="22"/>
          <w:lang w:val="fr-BE"/>
        </w:rPr>
        <w:t>26.5</w:t>
      </w:r>
      <w:r w:rsidRPr="00E53345">
        <w:rPr>
          <w:rFonts w:cstheme="minorHAnsi"/>
          <w:szCs w:val="22"/>
          <w:lang w:val="fr-BE"/>
        </w:rPr>
        <w:tab/>
        <w:t>En vue d’obtenir les paiements, le contractant doit introduire auprès de l’autorité visée au paragraphe 26.1 ci-dessus une facture en quatre exemplaires.</w:t>
      </w:r>
    </w:p>
    <w:p w14:paraId="2D582D20" w14:textId="77777777" w:rsidR="000841C7" w:rsidRPr="00E53345" w:rsidRDefault="000841C7" w:rsidP="000841C7">
      <w:pPr>
        <w:tabs>
          <w:tab w:val="right" w:pos="9885"/>
        </w:tabs>
        <w:spacing w:before="240"/>
        <w:ind w:left="709" w:hanging="709"/>
        <w:jc w:val="both"/>
        <w:rPr>
          <w:rFonts w:cstheme="minorHAnsi"/>
          <w:b/>
          <w:szCs w:val="22"/>
          <w:lang w:val="fr-BE"/>
        </w:rPr>
      </w:pPr>
      <w:r w:rsidRPr="00E53345">
        <w:rPr>
          <w:rFonts w:cstheme="minorHAnsi"/>
          <w:szCs w:val="22"/>
          <w:lang w:val="fr-BE"/>
        </w:rPr>
        <w:t>26.9</w:t>
      </w:r>
      <w:r w:rsidRPr="00E53345">
        <w:rPr>
          <w:rFonts w:cstheme="minorHAnsi"/>
          <w:szCs w:val="22"/>
          <w:lang w:val="fr-BE"/>
        </w:rPr>
        <w:tab/>
        <w:t>Le marché ne comporte aucune clause de révision de prix</w:t>
      </w:r>
      <w:r w:rsidRPr="00E53345">
        <w:rPr>
          <w:rFonts w:cstheme="minorHAnsi"/>
          <w:color w:val="000000"/>
          <w:szCs w:val="22"/>
          <w:lang w:val="fr-BE"/>
        </w:rPr>
        <w:t>.</w:t>
      </w:r>
    </w:p>
    <w:p w14:paraId="2AC7E78A" w14:textId="77777777" w:rsidR="000841C7" w:rsidRPr="00E53345" w:rsidRDefault="000841C7" w:rsidP="000841C7">
      <w:pPr>
        <w:spacing w:before="240" w:after="240"/>
        <w:ind w:left="1134" w:hanging="1134"/>
        <w:jc w:val="both"/>
        <w:rPr>
          <w:rFonts w:cstheme="minorHAnsi"/>
          <w:b/>
          <w:szCs w:val="22"/>
          <w:lang w:val="fr-BE"/>
        </w:rPr>
      </w:pPr>
      <w:bookmarkStart w:id="17" w:name="_Toc124934913"/>
      <w:r w:rsidRPr="00E53345">
        <w:rPr>
          <w:rFonts w:cstheme="minorHAnsi"/>
          <w:b/>
          <w:szCs w:val="22"/>
          <w:lang w:val="fr-BE"/>
        </w:rPr>
        <w:t>Article 28</w:t>
      </w:r>
      <w:r w:rsidRPr="00E53345">
        <w:rPr>
          <w:rFonts w:cstheme="minorHAnsi"/>
          <w:szCs w:val="22"/>
          <w:lang w:val="fr-BE"/>
        </w:rPr>
        <w:tab/>
      </w:r>
      <w:r w:rsidRPr="00E53345">
        <w:rPr>
          <w:rFonts w:cstheme="minorHAnsi"/>
          <w:b/>
          <w:szCs w:val="22"/>
          <w:lang w:val="fr-BE"/>
        </w:rPr>
        <w:t>Retards de paiement</w:t>
      </w:r>
    </w:p>
    <w:p w14:paraId="520A547A" w14:textId="2073C67E" w:rsidR="000841C7" w:rsidRPr="00E53345" w:rsidRDefault="000841C7" w:rsidP="000841C7">
      <w:pPr>
        <w:autoSpaceDE w:val="0"/>
        <w:autoSpaceDN w:val="0"/>
        <w:adjustRightInd w:val="0"/>
        <w:jc w:val="both"/>
        <w:rPr>
          <w:rFonts w:cstheme="minorHAnsi"/>
          <w:szCs w:val="22"/>
          <w:lang w:val="fr-BE"/>
        </w:rPr>
      </w:pPr>
      <w:r w:rsidRPr="00E53345">
        <w:rPr>
          <w:rFonts w:cstheme="minorHAnsi"/>
          <w:szCs w:val="22"/>
          <w:lang w:val="fr-BE"/>
        </w:rPr>
        <w:t>28.2</w:t>
      </w:r>
      <w:r w:rsidRPr="00E53345">
        <w:rPr>
          <w:rFonts w:cstheme="minorHAnsi"/>
          <w:szCs w:val="22"/>
          <w:lang w:val="fr-BE"/>
        </w:rPr>
        <w:tab/>
        <w:t xml:space="preserve">Par dérogation à l'article 28, paragraphe 2, des conditions générales, à l'expiration du délai prévu à l'article 26, paragraphe 3, il est versé au contractant des intérêts de retard s'il en fait la demande </w:t>
      </w:r>
      <w:r w:rsidR="009642BC">
        <w:rPr>
          <w:rFonts w:cstheme="minorHAnsi"/>
          <w:szCs w:val="22"/>
          <w:lang w:val="fr-BE"/>
        </w:rPr>
        <w:t>au taux et pour la période visée</w:t>
      </w:r>
      <w:r w:rsidRPr="00E53345">
        <w:rPr>
          <w:rFonts w:cstheme="minorHAnsi"/>
          <w:szCs w:val="22"/>
          <w:lang w:val="fr-BE"/>
        </w:rPr>
        <w:t xml:space="preserve"> aux conditions générales. La demande doit être reçue dans les deux mois suivant la date du paiement tardif.</w:t>
      </w:r>
    </w:p>
    <w:p w14:paraId="7157A0C3" w14:textId="77777777" w:rsidR="000841C7" w:rsidRPr="00E53345" w:rsidRDefault="000841C7" w:rsidP="000841C7">
      <w:pPr>
        <w:spacing w:before="240" w:after="240"/>
        <w:ind w:left="1134" w:hanging="1134"/>
        <w:jc w:val="both"/>
        <w:rPr>
          <w:rFonts w:cstheme="minorHAnsi"/>
          <w:b/>
          <w:szCs w:val="22"/>
          <w:lang w:val="fr-BE"/>
        </w:rPr>
      </w:pPr>
      <w:r w:rsidRPr="00E53345">
        <w:rPr>
          <w:rFonts w:cstheme="minorHAnsi"/>
          <w:b/>
          <w:szCs w:val="22"/>
          <w:lang w:val="fr-BE"/>
        </w:rPr>
        <w:t>Article 29</w:t>
      </w:r>
      <w:r w:rsidRPr="00E53345">
        <w:rPr>
          <w:rFonts w:cstheme="minorHAnsi"/>
          <w:szCs w:val="22"/>
          <w:lang w:val="fr-BE"/>
        </w:rPr>
        <w:tab/>
      </w:r>
      <w:r w:rsidRPr="00E53345">
        <w:rPr>
          <w:rFonts w:cstheme="minorHAnsi"/>
          <w:b/>
          <w:szCs w:val="22"/>
          <w:lang w:val="fr-BE"/>
        </w:rPr>
        <w:t>Livraison</w:t>
      </w:r>
      <w:bookmarkEnd w:id="17"/>
    </w:p>
    <w:p w14:paraId="49BF4DE1" w14:textId="77777777" w:rsidR="000841C7" w:rsidRPr="00E53345" w:rsidRDefault="000841C7" w:rsidP="00CA422D">
      <w:pPr>
        <w:spacing w:after="240"/>
        <w:jc w:val="both"/>
        <w:rPr>
          <w:rFonts w:cstheme="minorHAnsi"/>
          <w:szCs w:val="22"/>
          <w:lang w:val="fr-BE"/>
        </w:rPr>
      </w:pPr>
      <w:r w:rsidRPr="00E53345">
        <w:rPr>
          <w:rFonts w:cstheme="minorHAnsi"/>
          <w:szCs w:val="22"/>
          <w:lang w:val="fr-BE"/>
        </w:rPr>
        <w:t>29.3</w:t>
      </w:r>
      <w:r w:rsidRPr="00E53345">
        <w:rPr>
          <w:rFonts w:cstheme="minorHAnsi"/>
          <w:szCs w:val="22"/>
          <w:lang w:val="fr-BE"/>
        </w:rPr>
        <w:tab/>
        <w:t>Les emballages deviennent la propriété du bénéficiaire, sous réserve de respecter l’environnement.</w:t>
      </w:r>
    </w:p>
    <w:p w14:paraId="4B1B8016" w14:textId="77777777" w:rsidR="000841C7" w:rsidRPr="00E53345" w:rsidRDefault="00CA422D" w:rsidP="000841C7">
      <w:pPr>
        <w:jc w:val="both"/>
        <w:rPr>
          <w:rFonts w:cstheme="minorHAnsi"/>
          <w:szCs w:val="22"/>
          <w:lang w:val="fr-BE"/>
        </w:rPr>
      </w:pPr>
      <w:r w:rsidRPr="00E53345">
        <w:rPr>
          <w:rFonts w:cstheme="minorHAnsi"/>
          <w:szCs w:val="22"/>
          <w:lang w:val="fr-BE"/>
        </w:rPr>
        <w:t xml:space="preserve">29.5/6/7 </w:t>
      </w:r>
      <w:r w:rsidR="000841C7" w:rsidRPr="00E53345">
        <w:rPr>
          <w:rFonts w:cstheme="minorHAnsi"/>
          <w:szCs w:val="22"/>
          <w:lang w:val="fr-BE"/>
        </w:rPr>
        <w:t>Chaque livraison est accompagné par un document établit par le titulaire. Ce document doit comporter la date de livraison des fournitures, le numéro de référence du marché, l’identification du titulaire ainsi que le détail des fournitures livrées et s’il y a lieu l’indication de leur répartition dans les emballages.</w:t>
      </w:r>
    </w:p>
    <w:p w14:paraId="790DB38A" w14:textId="77777777" w:rsidR="000841C7" w:rsidRPr="00E53345" w:rsidRDefault="000841C7" w:rsidP="000841C7">
      <w:pPr>
        <w:spacing w:before="240" w:after="240"/>
        <w:ind w:left="1134" w:hanging="1134"/>
        <w:jc w:val="both"/>
        <w:rPr>
          <w:rFonts w:cstheme="minorHAnsi"/>
          <w:b/>
          <w:szCs w:val="22"/>
          <w:lang w:val="fr-BE"/>
        </w:rPr>
      </w:pPr>
      <w:bookmarkStart w:id="18" w:name="_Toc124934914"/>
      <w:r w:rsidRPr="00E53345">
        <w:rPr>
          <w:rFonts w:cstheme="minorHAnsi"/>
          <w:b/>
          <w:szCs w:val="22"/>
          <w:lang w:val="fr-BE"/>
        </w:rPr>
        <w:t>Article 31</w:t>
      </w:r>
      <w:r w:rsidRPr="00E53345">
        <w:rPr>
          <w:rFonts w:cstheme="minorHAnsi"/>
          <w:szCs w:val="22"/>
          <w:lang w:val="fr-BE"/>
        </w:rPr>
        <w:tab/>
      </w:r>
      <w:r w:rsidRPr="00E53345">
        <w:rPr>
          <w:rFonts w:cstheme="minorHAnsi"/>
          <w:b/>
          <w:szCs w:val="22"/>
          <w:lang w:val="fr-BE"/>
        </w:rPr>
        <w:t>Réception provisoire</w:t>
      </w:r>
      <w:bookmarkEnd w:id="18"/>
    </w:p>
    <w:p w14:paraId="1DADB663" w14:textId="77777777" w:rsidR="000841C7" w:rsidRPr="00E53345" w:rsidRDefault="000841C7" w:rsidP="000841C7">
      <w:pPr>
        <w:autoSpaceDE w:val="0"/>
        <w:autoSpaceDN w:val="0"/>
        <w:adjustRightInd w:val="0"/>
        <w:jc w:val="both"/>
        <w:rPr>
          <w:rFonts w:cstheme="minorHAnsi"/>
          <w:szCs w:val="22"/>
          <w:lang w:val="fr-BE"/>
        </w:rPr>
      </w:pPr>
      <w:r w:rsidRPr="00E53345">
        <w:rPr>
          <w:rFonts w:cstheme="minorHAnsi"/>
          <w:szCs w:val="22"/>
          <w:lang w:val="fr-BE"/>
        </w:rPr>
        <w:t>Pour la réception provisoire, il y a lieu d’utiliser le certificat en annexe. La réception provisoire se fera par un comité de réception mis en place par le pouvoir adjudicateur en présence du contractant et des bénéficiaires ou leurs représentants désignés aux lieux de destination des fournitures.</w:t>
      </w:r>
    </w:p>
    <w:p w14:paraId="2C3AB42E" w14:textId="77777777" w:rsidR="000841C7" w:rsidRPr="00E53345" w:rsidRDefault="000841C7" w:rsidP="000841C7">
      <w:pPr>
        <w:autoSpaceDE w:val="0"/>
        <w:autoSpaceDN w:val="0"/>
        <w:adjustRightInd w:val="0"/>
        <w:jc w:val="both"/>
        <w:rPr>
          <w:rFonts w:cstheme="minorHAnsi"/>
          <w:szCs w:val="22"/>
          <w:lang w:val="fr-BE"/>
        </w:rPr>
      </w:pPr>
    </w:p>
    <w:p w14:paraId="631F15BC" w14:textId="77777777" w:rsidR="000841C7" w:rsidRPr="00E53345" w:rsidRDefault="000841C7" w:rsidP="000841C7">
      <w:pPr>
        <w:autoSpaceDE w:val="0"/>
        <w:autoSpaceDN w:val="0"/>
        <w:adjustRightInd w:val="0"/>
        <w:jc w:val="both"/>
        <w:rPr>
          <w:rFonts w:cstheme="minorHAnsi"/>
          <w:szCs w:val="22"/>
          <w:lang w:val="fr-BE"/>
        </w:rPr>
      </w:pPr>
      <w:r w:rsidRPr="00E53345">
        <w:rPr>
          <w:rFonts w:cstheme="minorHAnsi"/>
          <w:szCs w:val="22"/>
          <w:lang w:val="fr-BE"/>
        </w:rPr>
        <w:t>Par dérogation à l'article 31, paragraphe 2, 2e alinéa, le délai de délivrance du certificat de réception provisoire par le pouvoir adjudicateur au contractant n'est pas réputé inclus dans le délai de paiement indiqué à l’article 26, paragraphe 3.</w:t>
      </w:r>
    </w:p>
    <w:p w14:paraId="3A91C303" w14:textId="77777777" w:rsidR="000841C7" w:rsidRPr="00E53345" w:rsidRDefault="000841C7" w:rsidP="000841C7">
      <w:pPr>
        <w:spacing w:before="240" w:after="240"/>
        <w:ind w:left="1134" w:hanging="1134"/>
        <w:jc w:val="both"/>
        <w:rPr>
          <w:rFonts w:cstheme="minorHAnsi"/>
          <w:b/>
          <w:szCs w:val="22"/>
          <w:lang w:val="fr-BE"/>
        </w:rPr>
      </w:pPr>
      <w:bookmarkStart w:id="19" w:name="_Toc124934915"/>
      <w:r w:rsidRPr="00E53345">
        <w:rPr>
          <w:rFonts w:cstheme="minorHAnsi"/>
          <w:b/>
          <w:szCs w:val="22"/>
          <w:lang w:val="fr-BE"/>
        </w:rPr>
        <w:t>Article 32</w:t>
      </w:r>
      <w:r w:rsidRPr="00E53345">
        <w:rPr>
          <w:rFonts w:cstheme="minorHAnsi"/>
          <w:szCs w:val="22"/>
          <w:lang w:val="fr-BE"/>
        </w:rPr>
        <w:tab/>
      </w:r>
      <w:r w:rsidRPr="00E53345">
        <w:rPr>
          <w:rFonts w:cstheme="minorHAnsi"/>
          <w:b/>
          <w:szCs w:val="22"/>
          <w:lang w:val="fr-BE"/>
        </w:rPr>
        <w:t>Garantie</w:t>
      </w:r>
      <w:bookmarkEnd w:id="19"/>
    </w:p>
    <w:p w14:paraId="04F30B48" w14:textId="77777777" w:rsidR="000841C7" w:rsidRPr="00E53345" w:rsidRDefault="000841C7" w:rsidP="000841C7">
      <w:pPr>
        <w:shd w:val="clear" w:color="auto" w:fill="FFFFFF"/>
        <w:spacing w:after="240"/>
        <w:jc w:val="both"/>
        <w:rPr>
          <w:rFonts w:cstheme="minorHAnsi"/>
          <w:color w:val="000000"/>
          <w:szCs w:val="22"/>
          <w:lang w:val="fr-BE"/>
        </w:rPr>
      </w:pPr>
      <w:bookmarkStart w:id="20" w:name="_Toc119839451"/>
      <w:bookmarkStart w:id="21" w:name="_Toc124934916"/>
      <w:r w:rsidRPr="00E53345">
        <w:rPr>
          <w:rFonts w:cstheme="minorHAnsi"/>
          <w:szCs w:val="22"/>
          <w:lang w:val="fr-BE"/>
        </w:rPr>
        <w:t>Les fournitures seront couvertes par la garantie de 12 mois calendaires après la réception et test des équipements</w:t>
      </w:r>
      <w:r w:rsidRPr="00E53345">
        <w:rPr>
          <w:rFonts w:cstheme="minorHAnsi"/>
          <w:color w:val="000000"/>
          <w:szCs w:val="22"/>
          <w:lang w:val="fr-BE"/>
        </w:rPr>
        <w:t>.</w:t>
      </w:r>
    </w:p>
    <w:p w14:paraId="7B047DAD" w14:textId="77777777" w:rsidR="000841C7" w:rsidRPr="00E53345" w:rsidRDefault="000841C7" w:rsidP="000841C7">
      <w:pPr>
        <w:autoSpaceDE w:val="0"/>
        <w:autoSpaceDN w:val="0"/>
        <w:adjustRightInd w:val="0"/>
        <w:jc w:val="both"/>
        <w:rPr>
          <w:rFonts w:cstheme="minorHAnsi"/>
          <w:szCs w:val="22"/>
          <w:lang w:val="fr-BE"/>
        </w:rPr>
      </w:pPr>
      <w:r w:rsidRPr="00E53345">
        <w:rPr>
          <w:rFonts w:cstheme="minorHAnsi"/>
          <w:szCs w:val="22"/>
          <w:lang w:val="fr-BE"/>
        </w:rPr>
        <w:t>Le soumissionnaire prendra toutes les dispositions pour assurer une manutention et un transport parfait.</w:t>
      </w:r>
    </w:p>
    <w:p w14:paraId="765662B6" w14:textId="77777777" w:rsidR="000841C7" w:rsidRPr="00E53345" w:rsidRDefault="000841C7" w:rsidP="000841C7">
      <w:pPr>
        <w:autoSpaceDE w:val="0"/>
        <w:autoSpaceDN w:val="0"/>
        <w:adjustRightInd w:val="0"/>
        <w:rPr>
          <w:rFonts w:cstheme="minorHAnsi"/>
          <w:szCs w:val="22"/>
          <w:lang w:val="fr-BE"/>
        </w:rPr>
      </w:pPr>
    </w:p>
    <w:p w14:paraId="4F31E411" w14:textId="77777777" w:rsidR="000841C7" w:rsidRPr="00E53345" w:rsidRDefault="000841C7" w:rsidP="000841C7">
      <w:pPr>
        <w:spacing w:before="240"/>
        <w:ind w:left="1134" w:hanging="1134"/>
        <w:jc w:val="both"/>
        <w:rPr>
          <w:rFonts w:cstheme="minorHAnsi"/>
          <w:b/>
          <w:szCs w:val="22"/>
          <w:lang w:val="fr-BE"/>
        </w:rPr>
      </w:pPr>
      <w:bookmarkStart w:id="22" w:name="_Toc124934917"/>
      <w:bookmarkEnd w:id="20"/>
      <w:bookmarkEnd w:id="21"/>
      <w:r w:rsidRPr="00E53345">
        <w:rPr>
          <w:rFonts w:cstheme="minorHAnsi"/>
          <w:b/>
          <w:szCs w:val="22"/>
          <w:lang w:val="fr-BE"/>
        </w:rPr>
        <w:t>Article 40</w:t>
      </w:r>
      <w:r w:rsidRPr="00E53345">
        <w:rPr>
          <w:rFonts w:cstheme="minorHAnsi"/>
          <w:szCs w:val="22"/>
          <w:lang w:val="fr-BE"/>
        </w:rPr>
        <w:tab/>
      </w:r>
      <w:r w:rsidRPr="00E53345">
        <w:rPr>
          <w:rFonts w:cstheme="minorHAnsi"/>
          <w:b/>
          <w:szCs w:val="22"/>
          <w:lang w:val="fr-BE"/>
        </w:rPr>
        <w:t>Règlement des différends</w:t>
      </w:r>
      <w:bookmarkEnd w:id="22"/>
    </w:p>
    <w:p w14:paraId="4CEB7A72" w14:textId="58ADE537" w:rsidR="000841C7" w:rsidRPr="00E53345" w:rsidRDefault="000841C7" w:rsidP="00C26A33">
      <w:pPr>
        <w:spacing w:before="240"/>
        <w:jc w:val="both"/>
        <w:rPr>
          <w:rFonts w:eastAsiaTheme="majorEastAsia" w:cstheme="minorHAnsi"/>
          <w:b/>
          <w:caps/>
          <w:color w:val="D2691E"/>
          <w:sz w:val="36"/>
          <w:szCs w:val="50"/>
          <w:lang w:val="fr-BE" w:eastAsia="en-US"/>
        </w:rPr>
      </w:pPr>
      <w:r w:rsidRPr="00E53345">
        <w:rPr>
          <w:rFonts w:cstheme="minorHAnsi"/>
          <w:szCs w:val="22"/>
          <w:lang w:val="fr-BE"/>
        </w:rPr>
        <w:t>40.4</w:t>
      </w:r>
      <w:r w:rsidRPr="00E53345">
        <w:rPr>
          <w:rFonts w:cstheme="minorHAnsi"/>
          <w:szCs w:val="22"/>
          <w:lang w:val="fr-BE"/>
        </w:rPr>
        <w:tab/>
        <w:t xml:space="preserve">Tout litige entre les parties résultant du contrat ou ayant un lien avec le contrat, qui ne peut pas être réglé autrement sera soumis à la compétence exclusive des tribunaux de Bruxelles, </w:t>
      </w:r>
      <w:r w:rsidR="000B0635" w:rsidRPr="00E53345">
        <w:rPr>
          <w:rFonts w:cstheme="minorHAnsi"/>
          <w:szCs w:val="22"/>
          <w:lang w:val="fr-BE"/>
        </w:rPr>
        <w:t>Belgique.</w:t>
      </w:r>
    </w:p>
    <w:p w14:paraId="00C541EE" w14:textId="77777777" w:rsidR="000841C7" w:rsidRPr="00E53345" w:rsidRDefault="000841C7" w:rsidP="00CE0262">
      <w:pPr>
        <w:spacing w:after="240"/>
        <w:jc w:val="both"/>
        <w:rPr>
          <w:rFonts w:cstheme="minorHAnsi"/>
          <w:szCs w:val="22"/>
          <w:lang w:val="fr-BE"/>
        </w:rPr>
      </w:pPr>
    </w:p>
    <w:sectPr w:rsidR="000841C7" w:rsidRPr="00E53345" w:rsidSect="00450705">
      <w:footerReference w:type="default" r:id="rId11"/>
      <w:headerReference w:type="first" r:id="rId12"/>
      <w:footerReference w:type="first" r:id="rId13"/>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EDA88" w14:textId="77777777" w:rsidR="00127D45" w:rsidRDefault="00127D45" w:rsidP="00F778C4">
      <w:r>
        <w:separator/>
      </w:r>
    </w:p>
  </w:endnote>
  <w:endnote w:type="continuationSeparator" w:id="0">
    <w:p w14:paraId="0875592F" w14:textId="77777777" w:rsidR="00127D45" w:rsidRDefault="00127D45" w:rsidP="00F7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134124"/>
      <w:docPartObj>
        <w:docPartGallery w:val="Page Numbers (Bottom of Page)"/>
        <w:docPartUnique/>
      </w:docPartObj>
    </w:sdtPr>
    <w:sdtEndPr>
      <w:rPr>
        <w:sz w:val="20"/>
      </w:rPr>
    </w:sdtEndPr>
    <w:sdtContent>
      <w:p w14:paraId="6DBEB15B" w14:textId="37A71198" w:rsidR="00CA422D" w:rsidRPr="00CA422D" w:rsidRDefault="00CA422D">
        <w:pPr>
          <w:pStyle w:val="Pieddepage"/>
          <w:jc w:val="right"/>
          <w:rPr>
            <w:sz w:val="20"/>
          </w:rPr>
        </w:pPr>
        <w:r w:rsidRPr="00CA422D">
          <w:rPr>
            <w:sz w:val="20"/>
          </w:rPr>
          <w:fldChar w:fldCharType="begin"/>
        </w:r>
        <w:r w:rsidRPr="00CA422D">
          <w:rPr>
            <w:sz w:val="20"/>
          </w:rPr>
          <w:instrText>PAGE   \* MERGEFORMAT</w:instrText>
        </w:r>
        <w:r w:rsidRPr="00CA422D">
          <w:rPr>
            <w:sz w:val="20"/>
          </w:rPr>
          <w:fldChar w:fldCharType="separate"/>
        </w:r>
        <w:r w:rsidR="00910E33" w:rsidRPr="00910E33">
          <w:rPr>
            <w:noProof/>
            <w:sz w:val="20"/>
            <w:lang w:val="fr-FR"/>
          </w:rPr>
          <w:t>4</w:t>
        </w:r>
        <w:r w:rsidRPr="00CA422D">
          <w:rPr>
            <w:sz w:val="20"/>
          </w:rPr>
          <w:fldChar w:fldCharType="end"/>
        </w:r>
      </w:p>
    </w:sdtContent>
  </w:sdt>
  <w:p w14:paraId="47A6D01E" w14:textId="77777777" w:rsidR="00CA422D" w:rsidRDefault="00CA42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263760"/>
      <w:docPartObj>
        <w:docPartGallery w:val="Page Numbers (Bottom of Page)"/>
        <w:docPartUnique/>
      </w:docPartObj>
    </w:sdtPr>
    <w:sdtEndPr>
      <w:rPr>
        <w:sz w:val="20"/>
      </w:rPr>
    </w:sdtEndPr>
    <w:sdtContent>
      <w:p w14:paraId="55C726E8" w14:textId="632649FF" w:rsidR="00644CDC" w:rsidRPr="00644CDC" w:rsidRDefault="001E5FD0">
        <w:pPr>
          <w:pStyle w:val="Pieddepage"/>
          <w:jc w:val="right"/>
          <w:rPr>
            <w:sz w:val="20"/>
          </w:rPr>
        </w:pPr>
        <w:r w:rsidRPr="00644CDC">
          <w:rPr>
            <w:sz w:val="20"/>
          </w:rPr>
          <w:fldChar w:fldCharType="begin"/>
        </w:r>
        <w:r w:rsidR="00644CDC" w:rsidRPr="00644CDC">
          <w:rPr>
            <w:sz w:val="20"/>
          </w:rPr>
          <w:instrText>PAGE   \* MERGEFORMAT</w:instrText>
        </w:r>
        <w:r w:rsidRPr="00644CDC">
          <w:rPr>
            <w:sz w:val="20"/>
          </w:rPr>
          <w:fldChar w:fldCharType="separate"/>
        </w:r>
        <w:r w:rsidR="00910E33" w:rsidRPr="00910E33">
          <w:rPr>
            <w:noProof/>
            <w:sz w:val="20"/>
            <w:lang w:val="fr-FR"/>
          </w:rPr>
          <w:t>1</w:t>
        </w:r>
        <w:r w:rsidRPr="00644CDC">
          <w:rPr>
            <w:sz w:val="20"/>
          </w:rPr>
          <w:fldChar w:fldCharType="end"/>
        </w:r>
      </w:p>
    </w:sdtContent>
  </w:sdt>
  <w:p w14:paraId="542C7257" w14:textId="77777777" w:rsidR="00644CDC" w:rsidRDefault="00644C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92D5F" w14:textId="77777777" w:rsidR="00127D45" w:rsidRDefault="00127D45" w:rsidP="00F778C4">
      <w:r>
        <w:separator/>
      </w:r>
    </w:p>
  </w:footnote>
  <w:footnote w:type="continuationSeparator" w:id="0">
    <w:p w14:paraId="7EDBE49D" w14:textId="77777777" w:rsidR="00127D45" w:rsidRDefault="00127D45" w:rsidP="00F77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BF521" w14:textId="77777777" w:rsidR="002B56B3" w:rsidRDefault="002B56B3" w:rsidP="002B56B3">
    <w:pPr>
      <w:pStyle w:val="En-tte"/>
    </w:pPr>
    <w:r w:rsidRPr="003D603D">
      <w:rPr>
        <w:noProof/>
        <w:lang w:val="fr-FR" w:eastAsia="fr-FR"/>
      </w:rPr>
      <w:drawing>
        <wp:inline distT="0" distB="0" distL="0" distR="0" wp14:anchorId="52CE9109" wp14:editId="599EE0A2">
          <wp:extent cx="657070" cy="568325"/>
          <wp:effectExtent l="0" t="0" r="0" b="3175"/>
          <wp:docPr id="1"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000841C7">
      <w:t xml:space="preserve"> </w:t>
    </w:r>
    <w:r>
      <w:t xml:space="preserve">    </w:t>
    </w:r>
    <w:r w:rsidR="000841C7">
      <w:t xml:space="preserve">    </w:t>
    </w:r>
    <w:r>
      <w:t xml:space="preserve">       </w:t>
    </w:r>
    <w:r w:rsidRPr="003D603D">
      <w:rPr>
        <w:noProof/>
        <w:lang w:val="fr-FR" w:eastAsia="fr-FR"/>
      </w:rPr>
      <w:drawing>
        <wp:inline distT="0" distB="0" distL="0" distR="0" wp14:anchorId="3F1C82F0" wp14:editId="43D81418">
          <wp:extent cx="1076325" cy="781050"/>
          <wp:effectExtent l="0" t="0" r="9525" b="0"/>
          <wp:docPr id="2"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0841C7">
      <w:t xml:space="preserve">    </w:t>
    </w:r>
    <w:r>
      <w:t xml:space="preserve"> </w:t>
    </w:r>
    <w:r w:rsidR="000841C7">
      <w:t xml:space="preserve"> </w:t>
    </w:r>
    <w:r>
      <w:t xml:space="preserve">        </w:t>
    </w:r>
    <w:r w:rsidRPr="003D603D">
      <w:rPr>
        <w:noProof/>
        <w:lang w:val="fr-FR" w:eastAsia="fr-FR"/>
      </w:rPr>
      <w:drawing>
        <wp:inline distT="0" distB="0" distL="0" distR="0" wp14:anchorId="5387AD91" wp14:editId="171A6D25">
          <wp:extent cx="669290" cy="719455"/>
          <wp:effectExtent l="0" t="0" r="0" b="4445"/>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000841C7">
      <w:t xml:space="preserve"> </w:t>
    </w:r>
    <w:r>
      <w:t xml:space="preserve">       </w:t>
    </w:r>
    <w:r w:rsidR="000841C7">
      <w:t xml:space="preserve">     </w:t>
    </w:r>
    <w:r>
      <w:t xml:space="preserve">     </w:t>
    </w:r>
    <w:r w:rsidR="000841C7">
      <w:t xml:space="preserve"> </w:t>
    </w:r>
    <w:r>
      <w:t xml:space="preserve">          </w:t>
    </w:r>
    <w:r w:rsidRPr="003D603D">
      <w:rPr>
        <w:noProof/>
        <w:lang w:val="fr-FR" w:eastAsia="fr-FR"/>
      </w:rPr>
      <w:drawing>
        <wp:inline distT="0" distB="0" distL="0" distR="0" wp14:anchorId="6BD9D345" wp14:editId="1E8AEC10">
          <wp:extent cx="687070" cy="629920"/>
          <wp:effectExtent l="0" t="0" r="0" b="0"/>
          <wp:docPr id="8"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p>
  <w:p w14:paraId="2907B1B4" w14:textId="77777777" w:rsidR="002B56B3" w:rsidRDefault="002B56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274B"/>
    <w:multiLevelType w:val="hybridMultilevel"/>
    <w:tmpl w:val="F90285F4"/>
    <w:lvl w:ilvl="0" w:tplc="080C0015">
      <w:start w:val="2"/>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09CE5E54"/>
    <w:multiLevelType w:val="hybridMultilevel"/>
    <w:tmpl w:val="E8AA87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730399"/>
    <w:multiLevelType w:val="hybridMultilevel"/>
    <w:tmpl w:val="1FDA78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FB50D93"/>
    <w:multiLevelType w:val="hybridMultilevel"/>
    <w:tmpl w:val="5B52CC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4563B57"/>
    <w:multiLevelType w:val="multilevel"/>
    <w:tmpl w:val="1EDC2C26"/>
    <w:lvl w:ilvl="0">
      <w:start w:val="1"/>
      <w:numFmt w:val="bullet"/>
      <w:lvlText w:val=""/>
      <w:lvlJc w:val="left"/>
      <w:pPr>
        <w:tabs>
          <w:tab w:val="num" w:pos="720"/>
        </w:tabs>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CC1718"/>
    <w:multiLevelType w:val="hybridMultilevel"/>
    <w:tmpl w:val="51B60DCA"/>
    <w:lvl w:ilvl="0" w:tplc="080C000B">
      <w:start w:val="1"/>
      <w:numFmt w:val="bullet"/>
      <w:lvlText w:val=""/>
      <w:lvlJc w:val="left"/>
      <w:pPr>
        <w:ind w:left="720" w:hanging="360"/>
      </w:pPr>
      <w:rPr>
        <w:rFonts w:ascii="Wingdings" w:hAnsi="Wingdings" w:hint="default"/>
      </w:rPr>
    </w:lvl>
    <w:lvl w:ilvl="1" w:tplc="08090003">
      <w:start w:val="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8A78D8"/>
    <w:multiLevelType w:val="hybridMultilevel"/>
    <w:tmpl w:val="EF7ACFFA"/>
    <w:lvl w:ilvl="0" w:tplc="040C000B">
      <w:start w:val="1"/>
      <w:numFmt w:val="bullet"/>
      <w:lvlText w:val=""/>
      <w:lvlJc w:val="left"/>
      <w:pPr>
        <w:ind w:left="1068" w:hanging="360"/>
      </w:pPr>
      <w:rPr>
        <w:rFonts w:ascii="Wingdings" w:hAnsi="Wingdings" w:hint="default"/>
      </w:rPr>
    </w:lvl>
    <w:lvl w:ilvl="1" w:tplc="040C000B">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428D501F"/>
    <w:multiLevelType w:val="hybridMultilevel"/>
    <w:tmpl w:val="15E8D3D6"/>
    <w:lvl w:ilvl="0" w:tplc="040C000B">
      <w:start w:val="1"/>
      <w:numFmt w:val="bullet"/>
      <w:lvlText w:val=""/>
      <w:lvlJc w:val="left"/>
      <w:pPr>
        <w:ind w:left="4827" w:hanging="360"/>
      </w:pPr>
      <w:rPr>
        <w:rFonts w:ascii="Wingdings" w:hAnsi="Wingdings" w:hint="default"/>
      </w:rPr>
    </w:lvl>
    <w:lvl w:ilvl="1" w:tplc="08090003">
      <w:start w:val="3"/>
      <w:numFmt w:val="bullet"/>
      <w:lvlText w:val="-"/>
      <w:lvlJc w:val="left"/>
      <w:pPr>
        <w:ind w:left="5547" w:hanging="360"/>
      </w:pPr>
      <w:rPr>
        <w:rFonts w:ascii="Times New Roman" w:eastAsia="Times New Roman" w:hAnsi="Times New Roman" w:cs="Times New Roman" w:hint="default"/>
      </w:rPr>
    </w:lvl>
    <w:lvl w:ilvl="2" w:tplc="08090005" w:tentative="1">
      <w:start w:val="1"/>
      <w:numFmt w:val="bullet"/>
      <w:lvlText w:val=""/>
      <w:lvlJc w:val="left"/>
      <w:pPr>
        <w:ind w:left="6267" w:hanging="360"/>
      </w:pPr>
      <w:rPr>
        <w:rFonts w:ascii="Wingdings" w:hAnsi="Wingdings" w:hint="default"/>
      </w:rPr>
    </w:lvl>
    <w:lvl w:ilvl="3" w:tplc="08090001" w:tentative="1">
      <w:start w:val="1"/>
      <w:numFmt w:val="bullet"/>
      <w:lvlText w:val=""/>
      <w:lvlJc w:val="left"/>
      <w:pPr>
        <w:ind w:left="6987" w:hanging="360"/>
      </w:pPr>
      <w:rPr>
        <w:rFonts w:ascii="Symbol" w:hAnsi="Symbol" w:hint="default"/>
      </w:rPr>
    </w:lvl>
    <w:lvl w:ilvl="4" w:tplc="08090003" w:tentative="1">
      <w:start w:val="1"/>
      <w:numFmt w:val="bullet"/>
      <w:lvlText w:val="o"/>
      <w:lvlJc w:val="left"/>
      <w:pPr>
        <w:ind w:left="7707" w:hanging="360"/>
      </w:pPr>
      <w:rPr>
        <w:rFonts w:ascii="Courier New" w:hAnsi="Courier New" w:cs="Courier New" w:hint="default"/>
      </w:rPr>
    </w:lvl>
    <w:lvl w:ilvl="5" w:tplc="08090005" w:tentative="1">
      <w:start w:val="1"/>
      <w:numFmt w:val="bullet"/>
      <w:lvlText w:val=""/>
      <w:lvlJc w:val="left"/>
      <w:pPr>
        <w:ind w:left="8427" w:hanging="360"/>
      </w:pPr>
      <w:rPr>
        <w:rFonts w:ascii="Wingdings" w:hAnsi="Wingdings" w:hint="default"/>
      </w:rPr>
    </w:lvl>
    <w:lvl w:ilvl="6" w:tplc="08090001" w:tentative="1">
      <w:start w:val="1"/>
      <w:numFmt w:val="bullet"/>
      <w:lvlText w:val=""/>
      <w:lvlJc w:val="left"/>
      <w:pPr>
        <w:ind w:left="9147" w:hanging="360"/>
      </w:pPr>
      <w:rPr>
        <w:rFonts w:ascii="Symbol" w:hAnsi="Symbol" w:hint="default"/>
      </w:rPr>
    </w:lvl>
    <w:lvl w:ilvl="7" w:tplc="08090003" w:tentative="1">
      <w:start w:val="1"/>
      <w:numFmt w:val="bullet"/>
      <w:lvlText w:val="o"/>
      <w:lvlJc w:val="left"/>
      <w:pPr>
        <w:ind w:left="9867" w:hanging="360"/>
      </w:pPr>
      <w:rPr>
        <w:rFonts w:ascii="Courier New" w:hAnsi="Courier New" w:cs="Courier New" w:hint="default"/>
      </w:rPr>
    </w:lvl>
    <w:lvl w:ilvl="8" w:tplc="08090005" w:tentative="1">
      <w:start w:val="1"/>
      <w:numFmt w:val="bullet"/>
      <w:lvlText w:val=""/>
      <w:lvlJc w:val="left"/>
      <w:pPr>
        <w:ind w:left="10587" w:hanging="360"/>
      </w:pPr>
      <w:rPr>
        <w:rFonts w:ascii="Wingdings" w:hAnsi="Wingdings" w:hint="default"/>
      </w:rPr>
    </w:lvl>
  </w:abstractNum>
  <w:abstractNum w:abstractNumId="11">
    <w:nsid w:val="46BB3DD7"/>
    <w:multiLevelType w:val="hybridMultilevel"/>
    <w:tmpl w:val="CD68C006"/>
    <w:lvl w:ilvl="0" w:tplc="080C0015">
      <w:start w:val="3"/>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
  </w:num>
  <w:num w:numId="2">
    <w:abstractNumId w:val="10"/>
  </w:num>
  <w:num w:numId="3">
    <w:abstractNumId w:val="9"/>
  </w:num>
  <w:num w:numId="4">
    <w:abstractNumId w:val="5"/>
  </w:num>
  <w:num w:numId="5">
    <w:abstractNumId w:val="3"/>
  </w:num>
  <w:num w:numId="6">
    <w:abstractNumId w:val="7"/>
  </w:num>
  <w:num w:numId="7">
    <w:abstractNumId w:val="4"/>
  </w:num>
  <w:num w:numId="8">
    <w:abstractNumId w:val="6"/>
  </w:num>
  <w:num w:numId="9">
    <w:abstractNumId w:val="0"/>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78C4"/>
    <w:rsid w:val="00007D4D"/>
    <w:rsid w:val="000112A3"/>
    <w:rsid w:val="0002044F"/>
    <w:rsid w:val="000408B8"/>
    <w:rsid w:val="000841C7"/>
    <w:rsid w:val="000B0635"/>
    <w:rsid w:val="00127D45"/>
    <w:rsid w:val="0013763B"/>
    <w:rsid w:val="001C0A1F"/>
    <w:rsid w:val="001D7CCC"/>
    <w:rsid w:val="001E5FD0"/>
    <w:rsid w:val="00264C23"/>
    <w:rsid w:val="0027639F"/>
    <w:rsid w:val="002860B0"/>
    <w:rsid w:val="002B56B3"/>
    <w:rsid w:val="00344698"/>
    <w:rsid w:val="00357484"/>
    <w:rsid w:val="003A72C7"/>
    <w:rsid w:val="00450705"/>
    <w:rsid w:val="0047375C"/>
    <w:rsid w:val="004D416A"/>
    <w:rsid w:val="00580AEB"/>
    <w:rsid w:val="005C5EDB"/>
    <w:rsid w:val="00644CDC"/>
    <w:rsid w:val="006626CB"/>
    <w:rsid w:val="006841C9"/>
    <w:rsid w:val="006E5DDD"/>
    <w:rsid w:val="006E790B"/>
    <w:rsid w:val="00797C75"/>
    <w:rsid w:val="007B4FE0"/>
    <w:rsid w:val="007C387B"/>
    <w:rsid w:val="007C468C"/>
    <w:rsid w:val="007C7550"/>
    <w:rsid w:val="00807C65"/>
    <w:rsid w:val="00860011"/>
    <w:rsid w:val="00862C0F"/>
    <w:rsid w:val="008854A0"/>
    <w:rsid w:val="00891123"/>
    <w:rsid w:val="00910E33"/>
    <w:rsid w:val="00960CF7"/>
    <w:rsid w:val="009642BC"/>
    <w:rsid w:val="009C1D8F"/>
    <w:rsid w:val="009D4290"/>
    <w:rsid w:val="009D7BB8"/>
    <w:rsid w:val="009E4BBF"/>
    <w:rsid w:val="00A360E3"/>
    <w:rsid w:val="00A36AD4"/>
    <w:rsid w:val="00A72FAD"/>
    <w:rsid w:val="00AB4AA4"/>
    <w:rsid w:val="00AF1D87"/>
    <w:rsid w:val="00B03A3D"/>
    <w:rsid w:val="00B662BC"/>
    <w:rsid w:val="00BB589D"/>
    <w:rsid w:val="00BF5BBA"/>
    <w:rsid w:val="00C23BF6"/>
    <w:rsid w:val="00C26A33"/>
    <w:rsid w:val="00C52EA4"/>
    <w:rsid w:val="00C67EC8"/>
    <w:rsid w:val="00CA422D"/>
    <w:rsid w:val="00CC62E8"/>
    <w:rsid w:val="00CE0262"/>
    <w:rsid w:val="00D0310B"/>
    <w:rsid w:val="00D51C8C"/>
    <w:rsid w:val="00D53D4C"/>
    <w:rsid w:val="00D85914"/>
    <w:rsid w:val="00DA4FB5"/>
    <w:rsid w:val="00E53345"/>
    <w:rsid w:val="00E566EB"/>
    <w:rsid w:val="00EC37BB"/>
    <w:rsid w:val="00F60EDC"/>
    <w:rsid w:val="00F77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48DB"/>
  <w15:docId w15:val="{2B47D1E4-65FB-4758-8999-B4B67354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4A0"/>
    <w:pPr>
      <w:spacing w:after="0" w:line="240" w:lineRule="auto"/>
    </w:pPr>
    <w:rPr>
      <w:rFonts w:eastAsia="Times New Roman" w:cs="Times New Roman"/>
      <w:szCs w:val="24"/>
      <w:lang w:val="nl-NL" w:eastAsia="nl-NL"/>
    </w:rPr>
  </w:style>
  <w:style w:type="paragraph" w:styleId="Titre1">
    <w:name w:val="heading 1"/>
    <w:basedOn w:val="Normal"/>
    <w:next w:val="Normal"/>
    <w:link w:val="Titre1Car"/>
    <w:qFormat/>
    <w:rsid w:val="00F778C4"/>
    <w:pPr>
      <w:keepNext/>
      <w:outlineLvl w:val="0"/>
    </w:pPr>
    <w:rPr>
      <w:i/>
      <w:iCs/>
      <w:lang w:val="en-GB"/>
    </w:rPr>
  </w:style>
  <w:style w:type="paragraph" w:styleId="Titre2">
    <w:name w:val="heading 2"/>
    <w:basedOn w:val="Normal"/>
    <w:next w:val="Normal"/>
    <w:link w:val="Titre2Car"/>
    <w:uiPriority w:val="9"/>
    <w:unhideWhenUsed/>
    <w:qFormat/>
    <w:rsid w:val="00F778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78C4"/>
    <w:rPr>
      <w:rFonts w:ascii="Times New Roman" w:eastAsia="Times New Roman" w:hAnsi="Times New Roman" w:cs="Times New Roman"/>
      <w:i/>
      <w:iCs/>
      <w:sz w:val="24"/>
      <w:szCs w:val="24"/>
      <w:lang w:val="en-GB" w:eastAsia="nl-NL"/>
    </w:rPr>
  </w:style>
  <w:style w:type="character" w:customStyle="1" w:styleId="Titre2Car">
    <w:name w:val="Titre 2 Car"/>
    <w:basedOn w:val="Policepardfaut"/>
    <w:link w:val="Titre2"/>
    <w:uiPriority w:val="9"/>
    <w:rsid w:val="00F778C4"/>
    <w:rPr>
      <w:rFonts w:asciiTheme="majorHAnsi" w:eastAsiaTheme="majorEastAsia" w:hAnsiTheme="majorHAnsi" w:cstheme="majorBidi"/>
      <w:b/>
      <w:bCs/>
      <w:color w:val="5B9BD5" w:themeColor="accent1"/>
      <w:sz w:val="26"/>
      <w:szCs w:val="26"/>
      <w:lang w:val="nl-NL" w:eastAsia="nl-NL"/>
    </w:rPr>
  </w:style>
  <w:style w:type="paragraph" w:customStyle="1" w:styleId="PRAGHeading2">
    <w:name w:val="PRAG Heading 2"/>
    <w:basedOn w:val="Normal"/>
    <w:rsid w:val="00F778C4"/>
    <w:pPr>
      <w:widowControl w:val="0"/>
      <w:numPr>
        <w:numId w:val="1"/>
      </w:numPr>
      <w:spacing w:before="100" w:after="100"/>
    </w:pPr>
    <w:rPr>
      <w:snapToGrid w:val="0"/>
      <w:szCs w:val="20"/>
      <w:lang w:val="fr-FR" w:eastAsia="fr-FR" w:bidi="fr-FR"/>
    </w:rPr>
  </w:style>
  <w:style w:type="character" w:styleId="Lienhypertexte">
    <w:name w:val="Hyperlink"/>
    <w:rsid w:val="00F778C4"/>
    <w:rPr>
      <w:color w:val="0000FF"/>
      <w:u w:val="single"/>
    </w:rPr>
  </w:style>
  <w:style w:type="paragraph" w:styleId="Sous-titre">
    <w:name w:val="Subtitle"/>
    <w:basedOn w:val="Normal"/>
    <w:link w:val="Sous-titreCar"/>
    <w:qFormat/>
    <w:rsid w:val="00F778C4"/>
    <w:pPr>
      <w:spacing w:before="120" w:after="120"/>
      <w:jc w:val="center"/>
    </w:pPr>
    <w:rPr>
      <w:rFonts w:ascii="Arial" w:hAnsi="Arial"/>
      <w:b/>
      <w:snapToGrid w:val="0"/>
      <w:sz w:val="28"/>
      <w:szCs w:val="20"/>
      <w:lang w:val="fr-FR" w:eastAsia="fr-FR" w:bidi="fr-FR"/>
    </w:rPr>
  </w:style>
  <w:style w:type="character" w:customStyle="1" w:styleId="Sous-titreCar">
    <w:name w:val="Sous-titre Car"/>
    <w:basedOn w:val="Policepardfaut"/>
    <w:link w:val="Sous-titre"/>
    <w:rsid w:val="00F778C4"/>
    <w:rPr>
      <w:rFonts w:ascii="Arial" w:eastAsia="Times New Roman" w:hAnsi="Arial" w:cs="Times New Roman"/>
      <w:b/>
      <w:snapToGrid w:val="0"/>
      <w:sz w:val="28"/>
      <w:szCs w:val="20"/>
      <w:lang w:val="fr-FR" w:eastAsia="fr-FR" w:bidi="fr-FR"/>
    </w:rPr>
  </w:style>
  <w:style w:type="paragraph" w:styleId="Notedebasdepage">
    <w:name w:val="footnote text"/>
    <w:basedOn w:val="Normal"/>
    <w:link w:val="NotedebasdepageCar"/>
    <w:uiPriority w:val="99"/>
    <w:rsid w:val="00F778C4"/>
    <w:pPr>
      <w:spacing w:before="120" w:after="120"/>
    </w:pPr>
    <w:rPr>
      <w:rFonts w:ascii="Arial" w:hAnsi="Arial"/>
      <w:snapToGrid w:val="0"/>
      <w:sz w:val="20"/>
      <w:szCs w:val="20"/>
      <w:lang w:val="fr-FR" w:eastAsia="fr-FR" w:bidi="fr-FR"/>
    </w:rPr>
  </w:style>
  <w:style w:type="character" w:customStyle="1" w:styleId="NotedebasdepageCar">
    <w:name w:val="Note de bas de page Car"/>
    <w:basedOn w:val="Policepardfaut"/>
    <w:link w:val="Notedebasdepage"/>
    <w:uiPriority w:val="99"/>
    <w:rsid w:val="00F778C4"/>
    <w:rPr>
      <w:rFonts w:ascii="Arial" w:eastAsia="Times New Roman" w:hAnsi="Arial" w:cs="Times New Roman"/>
      <w:snapToGrid w:val="0"/>
      <w:sz w:val="20"/>
      <w:szCs w:val="20"/>
      <w:lang w:val="fr-FR" w:eastAsia="fr-FR" w:bidi="fr-FR"/>
    </w:rPr>
  </w:style>
  <w:style w:type="character" w:styleId="Appelnotedebasdep">
    <w:name w:val="footnote reference"/>
    <w:uiPriority w:val="99"/>
    <w:rsid w:val="00F778C4"/>
    <w:rPr>
      <w:vertAlign w:val="superscript"/>
    </w:rPr>
  </w:style>
  <w:style w:type="paragraph" w:styleId="Retraitcorpsdetexte">
    <w:name w:val="Body Text Indent"/>
    <w:basedOn w:val="Normal"/>
    <w:link w:val="RetraitcorpsdetexteCar"/>
    <w:rsid w:val="00F778C4"/>
    <w:pPr>
      <w:tabs>
        <w:tab w:val="num" w:pos="567"/>
      </w:tabs>
      <w:jc w:val="both"/>
    </w:pPr>
    <w:rPr>
      <w:snapToGrid w:val="0"/>
      <w:szCs w:val="20"/>
      <w:lang w:val="fr-FR" w:eastAsia="fr-FR" w:bidi="fr-FR"/>
    </w:rPr>
  </w:style>
  <w:style w:type="character" w:customStyle="1" w:styleId="RetraitcorpsdetexteCar">
    <w:name w:val="Retrait corps de texte Car"/>
    <w:basedOn w:val="Policepardfaut"/>
    <w:link w:val="Retraitcorpsdetexte"/>
    <w:rsid w:val="00F778C4"/>
    <w:rPr>
      <w:rFonts w:ascii="Times New Roman" w:eastAsia="Times New Roman" w:hAnsi="Times New Roman" w:cs="Times New Roman"/>
      <w:snapToGrid w:val="0"/>
      <w:sz w:val="24"/>
      <w:szCs w:val="20"/>
      <w:lang w:val="fr-FR" w:eastAsia="fr-FR" w:bidi="fr-FR"/>
    </w:rPr>
  </w:style>
  <w:style w:type="paragraph" w:styleId="Corpsdetexte">
    <w:name w:val="Body Text"/>
    <w:basedOn w:val="Normal"/>
    <w:link w:val="CorpsdetexteCar"/>
    <w:rsid w:val="00F778C4"/>
    <w:pPr>
      <w:spacing w:before="120" w:after="120"/>
    </w:pPr>
    <w:rPr>
      <w:rFonts w:ascii="Arial" w:hAnsi="Arial"/>
      <w:snapToGrid w:val="0"/>
      <w:sz w:val="20"/>
      <w:szCs w:val="20"/>
      <w:lang w:val="fr-FR" w:eastAsia="fr-FR" w:bidi="fr-FR"/>
    </w:rPr>
  </w:style>
  <w:style w:type="character" w:customStyle="1" w:styleId="CorpsdetexteCar">
    <w:name w:val="Corps de texte Car"/>
    <w:basedOn w:val="Policepardfaut"/>
    <w:link w:val="Corpsdetexte"/>
    <w:rsid w:val="00F778C4"/>
    <w:rPr>
      <w:rFonts w:ascii="Arial" w:eastAsia="Times New Roman" w:hAnsi="Arial" w:cs="Times New Roman"/>
      <w:snapToGrid w:val="0"/>
      <w:sz w:val="20"/>
      <w:szCs w:val="20"/>
      <w:lang w:val="fr-FR" w:eastAsia="fr-FR" w:bidi="fr-FR"/>
    </w:rPr>
  </w:style>
  <w:style w:type="paragraph" w:styleId="Corpsdetexte2">
    <w:name w:val="Body Text 2"/>
    <w:basedOn w:val="Normal"/>
    <w:link w:val="Corpsdetexte2Car"/>
    <w:rsid w:val="00F778C4"/>
    <w:pPr>
      <w:tabs>
        <w:tab w:val="num" w:pos="567"/>
      </w:tabs>
      <w:jc w:val="both"/>
    </w:pPr>
    <w:rPr>
      <w:szCs w:val="20"/>
      <w:lang w:val="fr-FR" w:eastAsia="fr-FR" w:bidi="fr-FR"/>
    </w:rPr>
  </w:style>
  <w:style w:type="character" w:customStyle="1" w:styleId="Corpsdetexte2Car">
    <w:name w:val="Corps de texte 2 Car"/>
    <w:basedOn w:val="Policepardfaut"/>
    <w:link w:val="Corpsdetexte2"/>
    <w:rsid w:val="00F778C4"/>
    <w:rPr>
      <w:rFonts w:ascii="Times New Roman" w:eastAsia="Times New Roman" w:hAnsi="Times New Roman" w:cs="Times New Roman"/>
      <w:sz w:val="24"/>
      <w:szCs w:val="20"/>
      <w:lang w:val="fr-FR" w:eastAsia="fr-FR" w:bidi="fr-FR"/>
    </w:rPr>
  </w:style>
  <w:style w:type="character" w:styleId="Accentuation">
    <w:name w:val="Emphasis"/>
    <w:basedOn w:val="Policepardfaut"/>
    <w:qFormat/>
    <w:rsid w:val="002B56B3"/>
    <w:rPr>
      <w:i/>
    </w:rPr>
  </w:style>
  <w:style w:type="character" w:styleId="lev">
    <w:name w:val="Strong"/>
    <w:uiPriority w:val="22"/>
    <w:qFormat/>
    <w:rsid w:val="002B56B3"/>
    <w:rPr>
      <w:b/>
    </w:rPr>
  </w:style>
  <w:style w:type="paragraph" w:styleId="En-tte">
    <w:name w:val="header"/>
    <w:basedOn w:val="Normal"/>
    <w:link w:val="En-tteCar"/>
    <w:unhideWhenUsed/>
    <w:rsid w:val="002B56B3"/>
    <w:pPr>
      <w:tabs>
        <w:tab w:val="center" w:pos="4536"/>
        <w:tab w:val="right" w:pos="9072"/>
      </w:tabs>
    </w:pPr>
  </w:style>
  <w:style w:type="character" w:customStyle="1" w:styleId="En-tteCar">
    <w:name w:val="En-tête Car"/>
    <w:basedOn w:val="Policepardfaut"/>
    <w:link w:val="En-tte"/>
    <w:rsid w:val="002B56B3"/>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unhideWhenUsed/>
    <w:rsid w:val="002B56B3"/>
    <w:pPr>
      <w:tabs>
        <w:tab w:val="center" w:pos="4536"/>
        <w:tab w:val="right" w:pos="9072"/>
      </w:tabs>
    </w:pPr>
  </w:style>
  <w:style w:type="character" w:customStyle="1" w:styleId="PieddepageCar">
    <w:name w:val="Pied de page Car"/>
    <w:basedOn w:val="Policepardfaut"/>
    <w:link w:val="Pieddepage"/>
    <w:uiPriority w:val="99"/>
    <w:rsid w:val="002B56B3"/>
    <w:rPr>
      <w:rFonts w:ascii="Times New Roman" w:eastAsia="Times New Roman" w:hAnsi="Times New Roman" w:cs="Times New Roman"/>
      <w:sz w:val="24"/>
      <w:szCs w:val="24"/>
      <w:lang w:val="nl-NL" w:eastAsia="nl-NL"/>
    </w:rPr>
  </w:style>
  <w:style w:type="character" w:styleId="Marquedecommentaire">
    <w:name w:val="annotation reference"/>
    <w:basedOn w:val="Policepardfaut"/>
    <w:uiPriority w:val="99"/>
    <w:semiHidden/>
    <w:unhideWhenUsed/>
    <w:rsid w:val="002B56B3"/>
    <w:rPr>
      <w:sz w:val="16"/>
      <w:szCs w:val="16"/>
    </w:rPr>
  </w:style>
  <w:style w:type="paragraph" w:styleId="Commentaire">
    <w:name w:val="annotation text"/>
    <w:basedOn w:val="Normal"/>
    <w:link w:val="CommentaireCar"/>
    <w:uiPriority w:val="99"/>
    <w:semiHidden/>
    <w:unhideWhenUsed/>
    <w:rsid w:val="002B56B3"/>
    <w:rPr>
      <w:sz w:val="20"/>
      <w:szCs w:val="20"/>
    </w:rPr>
  </w:style>
  <w:style w:type="character" w:customStyle="1" w:styleId="CommentaireCar">
    <w:name w:val="Commentaire Car"/>
    <w:basedOn w:val="Policepardfaut"/>
    <w:link w:val="Commentaire"/>
    <w:uiPriority w:val="99"/>
    <w:semiHidden/>
    <w:rsid w:val="002B56B3"/>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2B56B3"/>
    <w:rPr>
      <w:b/>
      <w:bCs/>
    </w:rPr>
  </w:style>
  <w:style w:type="character" w:customStyle="1" w:styleId="ObjetducommentaireCar">
    <w:name w:val="Objet du commentaire Car"/>
    <w:basedOn w:val="CommentaireCar"/>
    <w:link w:val="Objetducommentaire"/>
    <w:uiPriority w:val="99"/>
    <w:semiHidden/>
    <w:rsid w:val="002B56B3"/>
    <w:rPr>
      <w:rFonts w:ascii="Times New Roman" w:eastAsia="Times New Roman" w:hAnsi="Times New Roman" w:cs="Times New Roman"/>
      <w:b/>
      <w:bCs/>
      <w:sz w:val="20"/>
      <w:szCs w:val="20"/>
      <w:lang w:val="nl-NL" w:eastAsia="nl-NL"/>
    </w:rPr>
  </w:style>
  <w:style w:type="paragraph" w:styleId="Textedebulles">
    <w:name w:val="Balloon Text"/>
    <w:basedOn w:val="Normal"/>
    <w:link w:val="TextedebullesCar"/>
    <w:uiPriority w:val="99"/>
    <w:semiHidden/>
    <w:unhideWhenUsed/>
    <w:rsid w:val="002B56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6B3"/>
    <w:rPr>
      <w:rFonts w:ascii="Segoe UI" w:eastAsia="Times New Roman" w:hAnsi="Segoe UI" w:cs="Segoe UI"/>
      <w:sz w:val="18"/>
      <w:szCs w:val="18"/>
      <w:lang w:val="nl-NL" w:eastAsia="nl-NL"/>
    </w:rPr>
  </w:style>
  <w:style w:type="paragraph" w:styleId="Paragraphedeliste">
    <w:name w:val="List Paragraph"/>
    <w:basedOn w:val="Normal"/>
    <w:uiPriority w:val="34"/>
    <w:qFormat/>
    <w:rsid w:val="008854A0"/>
    <w:pPr>
      <w:ind w:left="720"/>
      <w:contextualSpacing/>
    </w:pPr>
  </w:style>
  <w:style w:type="paragraph" w:customStyle="1" w:styleId="Default">
    <w:name w:val="Default"/>
    <w:rsid w:val="00D0310B"/>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bidi="fr-FR"/>
    </w:rPr>
  </w:style>
  <w:style w:type="paragraph" w:styleId="NormalWeb">
    <w:name w:val="Normal (Web)"/>
    <w:basedOn w:val="Normal"/>
    <w:uiPriority w:val="99"/>
    <w:semiHidden/>
    <w:unhideWhenUsed/>
    <w:rsid w:val="002860B0"/>
    <w:pPr>
      <w:spacing w:before="100" w:beforeAutospacing="1" w:after="100" w:afterAutospacing="1"/>
    </w:pPr>
    <w:rPr>
      <w:rFonts w:ascii="Times New Roman" w:hAnsi="Times New Roman"/>
      <w:sz w:val="24"/>
      <w:lang w:val="fr-BE" w:eastAsia="fr-BE"/>
    </w:rPr>
  </w:style>
  <w:style w:type="character" w:styleId="Lienhypertextesuivivisit">
    <w:name w:val="FollowedHyperlink"/>
    <w:basedOn w:val="Policepardfaut"/>
    <w:uiPriority w:val="99"/>
    <w:semiHidden/>
    <w:unhideWhenUsed/>
    <w:rsid w:val="00CA4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6575">
      <w:bodyDiv w:val="1"/>
      <w:marLeft w:val="0"/>
      <w:marRight w:val="0"/>
      <w:marTop w:val="0"/>
      <w:marBottom w:val="0"/>
      <w:divBdr>
        <w:top w:val="none" w:sz="0" w:space="0" w:color="auto"/>
        <w:left w:val="none" w:sz="0" w:space="0" w:color="auto"/>
        <w:bottom w:val="none" w:sz="0" w:space="0" w:color="auto"/>
        <w:right w:val="none" w:sz="0" w:space="0" w:color="auto"/>
      </w:divBdr>
    </w:div>
    <w:div w:id="9895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ad.inf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apad_shirukubute@yahoo.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isco.org" TargetMode="External"/><Relationship Id="rId4" Type="http://schemas.openxmlformats.org/officeDocument/2006/relationships/webSettings" Target="webSettings.xml"/><Relationship Id="rId9" Type="http://schemas.openxmlformats.org/officeDocument/2006/relationships/hyperlink" Target="mailto:info@adisc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1380</Words>
  <Characters>7591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Delille</dc:creator>
  <cp:lastModifiedBy>ADMIN</cp:lastModifiedBy>
  <cp:revision>15</cp:revision>
  <cp:lastPrinted>2019-12-20T11:17:00Z</cp:lastPrinted>
  <dcterms:created xsi:type="dcterms:W3CDTF">2019-09-24T14:29:00Z</dcterms:created>
  <dcterms:modified xsi:type="dcterms:W3CDTF">2020-12-21T10:22:00Z</dcterms:modified>
</cp:coreProperties>
</file>